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Vikas Sharma</w:t></w:r></w:p><w:p w14:paraId="1962E3FB" w14:textId="77777777" w:rsidR="00B073E6" w:rsidRDefault="00000000"><w:pPr><w:spacing w:after="4"/></w:pPr><w:r><w:rPr><w:b/><w:bCs/><w:color w:val="1A1A1A"/><w:sz w:val="22"/><w:szCs w:val="22"/></w:rPr><w:t>CEO</w:t></w:r></w:p><w:p w14:paraId="01D0D560" w14:textId="77777777" w:rsidR="00B073E6" w:rsidRDefault="00000000"><w:pPr><w:spacing w:after="4"/></w:pPr><w:r><w:rPr><w:b/><w:bCs/><w:color w:val="1A1A1A"/><w:sz w:val="22"/><w:szCs w:val="22"/></w:rPr><w:t>MultiTV Tech Solutions Pvt Ltd</w:t></w:r></w:p><w:p w14:paraId="43967866" w14:textId="77777777" w:rsidR="00B073E6" w:rsidRDefault="00000000"><w:pPr><w:spacing w:after="4"/></w:pPr><w:r><w:rPr><w:color w:val="1A1A1A"/></w:rPr><w:t>vikas.sharma@multitvsolution.com</w:t></w:r></w:p><w:p w14:paraId="7E95C78E" w14:textId="77777777" w:rsidR="00B073E6" w:rsidRDefault="00000000"><w:r><w:rPr><w:color w:val="1A1A1A"/></w:rPr><w:t>8447165195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Siddharth Kohli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siddharth@10xglobal.in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E6F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2E70" w14:textId="77777777" w:rsidR="00B073E6" w:rsidRDefault="00000000"><w:pPr><w:spacing w:after="28" w:line="244" w:lineRule="auto"/></w:pPr><w:r><w:rPr><w:rFonts w:ascii="Quicksand" w:eastAsia="Quicksand" w:hAnsi="Quicksand" w:cs="Quicksand" /><w:b/><w:bCs/><w:color w:val="C0252D"/><w:sz w:val="22"/><w:szCs w:val="22"/></w:rPr><w:t xml:space="preserve">Background: </w:t></w:r><w:r><w:rPr><w:rFonts w:ascii="Quicksand" w:eastAsia="Quicksand" w:hAnsi="Quicksand" w:cs="Quicksand" /><w:color w:val="1A1A1A"/><w:sz w:val="22"/><w:szCs w:val="22"/></w:rPr><w:t>MultiTV Tech Solutions Pvt Ltd is a leading company that provides quality services and solutions to its clients.</w:t></w:r></w:p></w:tc></w:tr></w:tbl><w:p w14:paraId="00002E71" w14:textId="77777777" w:rsidR="00B073E6" w:rsidRDefault="00B073E6"><w:pPr><w:spacing w:after="36"/></w:pPr></w:p><w:p w14:paraId="00002E72" w14:textId="77777777" w:rsidR="002549F2" w:rsidRDefault="002549F2"><w:pPr><w:spacing w:before="140" w:after="120" w:line="260" w:lineRule="auto" /><w:rPr><w:rFonts w:ascii="Quicksand" w:eastAsia="Quicksand" w:hAnsi="Quicksand" w:cs="Quicksand" /><w:b /><w:color w:val="A31134" /><w:sz w:val="22" /><w:szCs w:val="22" /></w:rPr></w:pPr><w:r><w:rPr><w:rFonts w:ascii="Quicksand" w:eastAsia="Quicksand" w:hAnsi="Quicksand" w:cs="Quicksand" /><w:b /><w:color w:val="A31134" /><w:sz w:val="22" /><w:szCs w:val="22" /></w:rPr><w:t>India</w:t></w:r></w:p><w:p w14:paraId="00002E73" w14:textId="77777777" w:rsidR="002549F2" w:rsidRDefault="002549F2"><w:pPr><w:spacing w:before="40" w:after="40" w:line="220" w:lineRule="auto" /></w:pPr><w:r><w:rPr><w:rFonts w:ascii="Quicksand" w:eastAsia="Quicksand" w:hAnsi="Quicksand" w:cs="Quicksand" /><w:sz w:val="22" /><w:szCs w:val="22" /></w:rPr><w:t xml:space="preserve"> </w:t></w:r></w:p><w:p w14:paraId="00002E74" w14:textId="77777777" w:rsidR="00B073E6" w:rsidRDefault="00B073E6"><w:pPr><w:spacing w:before="80" w:after="60"/></w:pPr><w:r><w:rPr><w:rFonts w:ascii="Quicksand" w:eastAsia="Quicksand" w:hAnsi="Quicksand" w:cs="Quicksand" /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2E75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E76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E77" w14:textId="77777777" w:rsidR="00B073E6" w:rsidRDefault="00B073E6"><w:pPr><w:spacing w:after="28" w:line="244" w:lineRule="auto"/><w:jc w:val="right"/></w:pPr></w:p></w:tc></w:tr><w:tr w:rsidR="00B073E6" w14:paraId="00002E78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79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H.</w:t></w:r><w:r><w:rPr><w:rFonts w:ascii="Quicksand" w:eastAsia="Quicksand" w:hAnsi="Quicksand" w:cs="Quicksand" /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7A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/w:tbl><w:p w14:paraId="00002E7B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2E7C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E7D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H.  Audits</w:t></w:r></w:p></w:tc></w:tr><w:tr w:rsidR="00B073E6" w14:paraId="00002E7E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E7F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E80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E81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E82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E83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2E84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85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H1</w:t></w:r></w:p><w:p w14:paraId="00002E8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87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Verify books for accuracy and Indian GAAP compliance; examine accounting policies.</w:t></w:r></w:p><w:p w14:paraId="00002E88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Review and evaluate internal controls and financial control systems.</w:t></w:r></w:p><w:p w14:paraId="00002E89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Check compliance – Companies Act, IT Act, GST; verify Schedule III disclosures.</w:t></w:r></w:p><w:p w14:paraId="00002E8A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Audit Balance Sheet, P&amp;L, Cash Flow and Notes; ensure true and fair view.</w:t></w:r></w:p><w:p w14:paraId="00002E8B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Issue Audit Report (Companies Act format); communicate observations and recommendations.</w:t></w:r></w:p><w:p w14:paraId="00002E8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Not included: Internal/risk audit; forensic audit; M&amp;A due diligence; IT assessment/representation; TP study/benchmarking.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8D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Complete books, financial records and system access; management availability for queries.</w:t></w:r></w:p><w:p w14:paraId="00002E8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Provide complete TP study and benchmarking documentation (for H3).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8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90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₹125,000/year</w:t></w:r></w:p></w:tc></w:tr></w:tbl><w:p w14:paraId="00002E91" w14:textId="77777777" w:rsidR="00B073E6" w:rsidRDefault="00B073E6"><w:pPr><w:spacing w:after="36"/></w:pPr></w:p><w:p w14:paraId="00002E92" w14:textId="77777777" w:rsidR="00B073E6" w:rsidRDefault="00000000"><w:pPr><w:spacing w:after="60"/></w:pPr><w:r><w:rPr><w:rFonts w:ascii="Quicksand" w:eastAsia="Quicksand" w:hAnsi="Quicksand" w:cs="Quicksand" /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2E93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E9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E95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E96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E9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E98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2E99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9A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9B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H1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9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9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9E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₹125,000/year</w:t></w:r></w:p></w:tc></w:tr></w:tbl><w:p w14:paraId="00002E9F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2EA0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EA1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Team Deployment &amp; Notes</w:t></w:r></w:p></w:tc></w:tr><w:tr w:rsidR="00B073E6" w14:paraId="00002EA2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A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A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Analyst: CA (Semi- Qualified) or Accountant with minimum 1 year experience, along with 3 years of articleship exposure</w:t></w:r></w:p></w:tc></w:tr><w:tr w:rsidR="00B073E6" w14:paraId="00002EA5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EA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EA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2EA8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A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A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2EAB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EA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EA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Manager: Qualified CA with 6 years of relevant post qualification experience in accounting / tax / secretarial compliance</w:t></w:r></w:p></w:tc></w:tr><w:tr w:rsidR="00B073E6" w14:paraId="00002EAE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A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B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 xml:space="preserve"> </w:t></w:r></w:p></w:tc></w:tr></w:tbl><w:p w14:paraId="00002EB1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EB2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EB3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General Scope Exclusions</w:t></w:r></w:p></w:tc></w:tr><w:tr w:rsidR="00B073E6" w14:paraId="00002EB4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EB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 certification unless otherwise included in the scope</w:t></w:r></w:p></w:tc></w:tr><w:tr w:rsidR="00B073E6" w14:paraId="00002EB6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B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Drafting / review of legal agreements or customer contracts</w:t></w:r></w:p></w:tc></w:tr><w:tr w:rsidR="00B073E6" w14:paraId="00002EB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EB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Assistance in due diligence in case of funding round</w:t></w:r></w:p></w:tc></w:tr><w:tr w:rsidR="00B073E6" w14:paraId="00002EBA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B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or any other assistance in case of M&amp;A</w:t></w:r></w:p></w:tc></w:tr><w:tr w:rsidR="00B073E6" w14:paraId="00002EBC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EB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Representation before the tax or other authorities unless otherwise agreed in the scope</w:t></w:r></w:p></w:tc></w:tr><w:tr w:rsidR="00B073E6" w14:paraId="00002EBE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B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Anything specifically not mentioned in the scope shall be deemed excluded</w:t></w:r></w:p></w:tc></w:tr></w:tbl><w:p w14:paraId="00002EC0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EC1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EC2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Commercials</w:t></w:r></w:p></w:tc></w:tr><w:tr w:rsidR="00B073E6" w14:paraId="00002EC3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C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All fees are exclusive of GST as applicable.</w:t></w:r></w:p></w:tc></w:tr><w:tr w:rsidR="00B073E6" w14:paraId="00002EC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EC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