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Nexus Fintech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E1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E19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Nexus Fintech is a leading company that provides quality services and solutions to its clients.</w:t></w:r></w:p></w:tc></w:tr></w:tbl><w:p w14:paraId="00001E1A" w14:textId="77777777" w:rsidR="00B073E6" w:rsidRDefault="00B073E6"><w:pPr><w:spacing w:after="36"/></w:pPr></w:p><w:p w14:paraId="00001E1B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E1C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E1D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E1E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1F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20" w14:textId="77777777" w:rsidR="00B073E6" w:rsidRDefault="00B073E6"><w:pPr><w:spacing w:after="28" w:line="244" w:lineRule="auto"/><w:jc w:val="right"/></w:pPr></w:p></w:tc></w:tr><w:tr w:rsidR="00B073E6" w14:paraId="00001E21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22" w14:textId="77777777" w:rsidR="00B073E6" w:rsidRDefault="00000000"><w:pPr><w:spacing w:after="28" w:line="244" w:lineRule="auto"/></w:pPr><w:r><w:rPr><w:b/><w:bCs/><w:color w:val="1B6B6B"/><w:sz w:val="18"/><w:szCs w:val="18"/></w:rPr><w:t>C.</w:t></w:r><w:r><w:rPr><w:color w:val="1A1A1A"/><w:sz w:val="18"/><w:szCs w:val="18"/></w:rPr><w:t xml:space="preserve">  Income Tax Compliances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23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E24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25" w14:textId="77777777" w:rsidR="00B073E6" w:rsidRDefault="00000000"><w:pPr><w:spacing w:after="28" w:line="244" w:lineRule="auto"/></w:pPr><w:r><w:rPr><w:b/><w:bCs/><w:color w:val="1B6B6B"/><w:sz w:val="18"/><w:szCs w:val="18"/></w:rPr><w:t>H.</w:t></w:r><w:r><w:rPr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26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E27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E28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E29" w14:textId="77777777" w:rsidR="00B073E6" w:rsidRDefault="00000000"><w:pPr><w:spacing w:after="28" w:line="244" w:lineRule="auto"/></w:pPr><w:r><w:rPr><w:b/><w:bCs/><w:color w:val="FFFFFF"/><w:sz w:val="22"/><w:szCs w:val="22"/></w:rPr><w:t xml:space="preserve">C.  Income Tax Compliances</w:t></w:r></w:p></w:tc></w:tr><w:tr w:rsidR="00B073E6" w14:paraId="00001E2A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2B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2C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2D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2E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2F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E30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31" w14:textId="77777777" w:rsidR="00B073E6" w:rsidRDefault="00000000"><w:pPr><w:spacing w:after="28" w:line="244" w:lineRule="auto"/></w:pPr><w:r><w:rPr><w:b/><w:bCs/><w:color w:val="1B6B6B"/><w:sz w:val="18"/><w:szCs w:val="18"/></w:rPr><w:t>C2</w:t></w:r></w:p><w:p w14:paraId="00001E32" w14:textId="77777777" w:rsidR="00B073E6" w:rsidRDefault="00000000"><w:pPr><w:spacing w:after="4" w:line="244" w:lineRule="auto"/></w:pPr><w:r><w:rPr><w:color w:val="1A1A1A"/><w:sz w:val="18"/><w:szCs w:val="18"/></w:rPr><w:t>Quarterly – TDS/TCS Returns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33" w14:textId="77777777" w:rsidR="00B073E6" w:rsidRDefault="00000000"><w:pPr><w:spacing w:after="28" w:line="244" w:lineRule="auto"/></w:pPr><w:r><w:rPr><w:color w:val="1A1A1A"/><w:sz w:val="18"/><w:szCs w:val="18"/></w:rPr><w:t>File Form 24Q, 26Q, 27Q, 27EQ per Section 200/201 of the Income-tax Act, 1961.</w:t></w:r></w:p><w:p w14:paraId="00001E34" w14:textId="77777777" w:rsidR="00B073E6" w:rsidRDefault="00000000"><w:pPr><w:spacing w:after="4" w:line="244" w:lineRule="auto"/></w:pPr><w:r><w:rPr><w:color w:val="1A1A1A"/><w:sz w:val="18"/><w:szCs w:val="18"/></w:rPr><w:t>Correction returns for errors; handle CPC/TRACES defaults and mismatches; issue Form 16/16A certificates.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35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36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37" w14:textId="77777777" w:rsidR="00B073E6" w:rsidRDefault="00000000"><w:pPr><w:spacing w:after="4" w:line="244" w:lineRule="auto"/><w:jc w:val="right"/></w:pPr><w:r><w:rPr><w:b/><w:bCs/><w:color w:val="1B3A5C"/><w:sz w:val="18"/><w:szCs w:val="18"/></w:rPr><w:t>₹25,000/quarter</w:t></w:r></w:p></w:tc></w:tr></w:tbl><w:p w14:paraId="00001E38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E39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E3A" w14:textId="77777777" w:rsidR="00B073E6" w:rsidRDefault="00000000"><w:pPr><w:spacing w:after="28" w:line="244" w:lineRule="auto"/></w:pPr><w:r><w:rPr><w:b/><w:bCs/><w:color w:val="FFFFFF"/><w:sz w:val="22"/><w:szCs w:val="22"/></w:rPr><w:t xml:space="preserve">H.  Audits</w:t></w:r></w:p></w:tc></w:tr><w:tr w:rsidR="00B073E6" w14:paraId="00001E3B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3C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3D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3E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3F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40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E41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42" w14:textId="77777777" w:rsidR="00B073E6" w:rsidRDefault="00000000"><w:pPr><w:spacing w:after="28" w:line="244" w:lineRule="auto"/></w:pPr><w:r><w:rPr><w:b/><w:bCs/><w:color w:val="1B6B6B"/><w:sz w:val="18"/><w:szCs w:val="18"/></w:rPr><w:t>H3</w:t></w:r></w:p><w:p w14:paraId="00001E43" w14:textId="77777777" w:rsidR="00B073E6" w:rsidRDefault="00000000"><w:pPr><w:spacing w:after="4" w:line="244" w:lineRule="auto"/></w:pPr><w:r><w:rPr><w:color w:val="1A1A1A"/><w:sz w:val="18"/><w:szCs w:val="18"/></w:rPr><w:t>Transfer Pricing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44" w14:textId="77777777" w:rsidR="00B073E6" w:rsidRDefault="00000000"><w:pPr><w:spacing w:after="28" w:line="244" w:lineRule="auto"/></w:pPr><w:r><w:rPr><w:color w:val="1A1A1A"/><w:sz w:val="18"/><w:szCs w:val="18"/></w:rPr><w:t>Certify and file Form 3CEB per client&apos;s TP study; clause-wise reporting per Rule 10E.</w:t></w:r></w:p><w:p w14:paraId="00001E45" w14:textId="77777777" w:rsidR="00B073E6" w:rsidRDefault="00000000"><w:pPr><w:spacing w:after="4" w:line="244" w:lineRule="auto"/></w:pPr><w:r><w:rPr><w:color w:val="1A1A1A"/><w:sz w:val="18"/><w:szCs w:val="18"/></w:rPr><w:t>Note: TP study and benchmarking under Rule 10D are excluded.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46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47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48" w14:textId="77777777" w:rsidR="00B073E6" w:rsidRDefault="00000000"><w:pPr><w:spacing w:after="4" w:line="244" w:lineRule="auto"/><w:jc w:val="right"/></w:pPr><w:r><w:rPr><w:b/><w:bCs/><w:color w:val="1B3A5C"/><w:sz w:val="18"/><w:szCs w:val="18"/></w:rPr><w:t>₹50,000/year</w:t></w:r></w:p></w:tc></w:tr></w:tbl><w:p w14:paraId="00001E49" w14:textId="77777777" w:rsidR="00B073E6" w:rsidRDefault="00B073E6"><w:pPr><w:spacing w:after="36"/></w:pPr></w:p><w:p w14:paraId="00001E4A" w14:textId="77777777" w:rsidR="00B073E6" w:rsidRDefault="00000000"><w:pPr><w:spacing w:after="60"/></w:pPr><w:r><w:rPr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E4B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4C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4D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4E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4F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E50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E51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52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53" w14:textId="77777777" w:rsidR="00B073E6" w:rsidRDefault="00000000"><w:pPr><w:spacing w:after="4" w:line="244" w:lineRule="auto"/></w:pPr><w:r><w:rPr><w:b/><w:bCs/><w:color w:val="1B6B6B"/><w:sz w:val="18"/><w:szCs w:val="18"/></w:rPr><w:t>H3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54" w14:textId="77777777" w:rsidR="00B073E6" w:rsidRDefault="00000000"><w:pPr><w:spacing w:after="4" w:line="244" w:lineRule="auto"/></w:pPr><w:r><w:rPr><w:color w:val="1A1A1A"/><w:sz w:val="18"/><w:szCs w:val="18"/></w:rPr><w:t>Transfer Pricing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55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56" w14:textId="77777777" w:rsidR="00B073E6" w:rsidRDefault="00000000"><w:pPr><w:spacing w:after="4" w:line="244" w:lineRule="auto"/><w:jc w:val="right"/></w:pPr><w:r><w:rPr><w:b/><w:bCs/><w:color w:val="1B3A5C"/><w:sz w:val="18"/><w:szCs w:val="18"/></w:rPr><w:t>₹50,000/year</w:t></w:r></w:p></w:tc></w:tr><w:tr w:rsidR="00B073E6" w14:paraId="00001E57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58" w14:textId="77777777" w:rsidR="00B073E6" w:rsidRDefault="00000000"><w:pPr><w:spacing w:after="4" w:line="244" w:lineRule="auto"/></w:pPr><w:r><w:rPr><w:b/><w:bCs/><w:color w:val="1B3A5C"/><w:sz w:val="18"/><w:szCs w:val="18"/></w:rPr><w:t>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59" w14:textId="77777777" w:rsidR="00B073E6" w:rsidRDefault="00000000"><w:pPr><w:spacing w:after="4" w:line="244" w:lineRule="auto"/></w:pPr><w:r><w:rPr><w:b/><w:bCs/><w:color w:val="1B6B6B"/><w:sz w:val="18"/><w:szCs w:val="18"/></w:rPr><w:t>C2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5A" w14:textId="77777777" w:rsidR="00B073E6" w:rsidRDefault="00000000"><w:pPr><w:spacing w:after="4" w:line="244" w:lineRule="auto"/></w:pPr><w:r><w:rPr><w:color w:val="1A1A1A"/><w:sz w:val="18"/><w:szCs w:val="18"/></w:rPr><w:t>Quarterly – TDS/TCS Returns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5B" w14:textId="77777777" w:rsidR="00B073E6" w:rsidRDefault="00000000"><w:pPr><w:spacing w:after="4" w:line="244" w:lineRule="auto"/></w:pPr><w:r><w:rPr><w:color w:val="1A1A1A"/><w:sz w:val="18"/><w:szCs w:val="18"/></w:rPr><w:t>Quarterly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5C" w14:textId="77777777" w:rsidR="00B073E6" w:rsidRDefault="00000000"><w:pPr><w:spacing w:after="4" w:line="244" w:lineRule="auto"/><w:jc w:val="right"/></w:pPr><w:r><w:rPr><w:b/><w:bCs/><w:color w:val="1B3A5C"/><w:sz w:val="18"/><w:szCs w:val="18"/></w:rPr><w:t>₹25,000/quarter</w:t></w:r></w:p></w:tc></w:tr></w:tbl><w:p w14:paraId="00001E5D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E5E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E5F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E60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61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62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E63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64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65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E66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67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68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E69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6A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6B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E6C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6D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6E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E6F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E70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E71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E7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73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E7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75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E7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77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E7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79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E7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7B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E7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7D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E7E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E7F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E80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E8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E82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E8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E84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