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7131"/>
      </w:tblGrid>
      <w:tr w:rsidR="00B073E6" w14:paraId="77BF749C" w14:textId="77777777">
        <w:tblPrEx>
          <w:tblCellMar>
            <w:top w:w="0" w:type="dxa"/>
            <w:bottom w:w="0" w:type="dxa"/>
          </w:tblCellMar>
        </w:tblPrEx>
        <w:trPr>
          <w:trHeight w:hRule="exact" w:val="56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E56185" w14:textId="77777777" w:rsidR="00B073E6" w:rsidRDefault="00B073E6">
            <w:pPr>
              <w:spacing w:after="60"/>
            </w:pP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0BDB1259" w14:textId="77777777" w:rsidR="00B073E6" w:rsidRDefault="00B073E6">
            <w:pPr>
              <w:spacing w:after="320"/>
            </w:pPr>
          </w:p>
          <w:p w14:paraId="6E5B8A70" w14:textId="77777777" w:rsidR="00B073E6" w:rsidRDefault="00000000">
            <w:pPr>
              <w:spacing w:after="20"/>
            </w:pPr>
            <w:r>
              <w:rPr>
                <w:noProof/>
              </w:rPr>
              <w:drawing>
                <wp:inline distT="0" distB="0" distL="0" distR="0" wp14:anchorId="10AAB7B4" wp14:editId="005628FF">
                  <wp:extent cx="1524000" cy="2952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AEE09" w14:textId="77777777" w:rsidR="00B073E6" w:rsidRDefault="00B073E6">
            <w:pPr>
              <w:spacing w:after="120"/>
            </w:pPr>
          </w:p>
          <w:p w14:paraId="11EAB925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Proposal</w:t>
            </w:r>
          </w:p>
          <w:p w14:paraId="74CD8D2A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For</w:t>
            </w:r>
          </w:p>
          <w:p w14:paraId="0CAD8477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Services</w:t>
            </w:r>
          </w:p>
        </w:tc>
      </w:tr>
      <w:tr w:rsidR="00B073E6" w14:paraId="53159602" w14:textId="77777777">
        <w:tblPrEx>
          <w:tblCellMar>
            <w:top w:w="0" w:type="dxa"/>
            <w:bottom w:w="0" w:type="dxa"/>
          </w:tblCellMar>
        </w:tblPrEx>
        <w:trPr>
          <w:trHeight w:hRule="exact" w:val="49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E98B66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F5F62" wp14:editId="3FAAF48A">
                  <wp:extent cx="2905125" cy="2952750"/>
                  <wp:effectExtent l="0" t="0" r="0" b="0"/>
                  <wp:docPr id="549372356" name="Picture 54937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95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48956BF2" w14:textId="77777777" w:rsidR="00B073E6" w:rsidRDefault="00B073E6">
            <w:pPr>
              <w:spacing w:after="60"/>
            </w:pPr>
          </w:p>
          <w:p w14:paraId="275AFCFB" w14:textId="77777777" w:rsidR="00B073E6" w:rsidRDefault="00000000">
            <w:pPr>
              <w:spacing w:after="6"/>
            </w:pPr>
            <w:r>
              <w:rPr>
                <w:b/>
                <w:bCs/>
                <w:color w:val="1A1A1A"/>
                <w:sz w:val="22"/>
                <w:szCs w:val="22"/>
                <w:u w:val="single"/>
              </w:rPr>
              <w:t>Prepared for:</w:t>
            </w:r>
          </w:p>
          <w:p w14:paraId="68A7E965" w14:textId="77777777" w:rsidR="00B073E6" w:rsidRDefault="00B073E6">
            <w:pPr>
              <w:spacing w:after="16"/>
            </w:pPr>
          </w:p>
          <w:p w14:paraId="0CB1BB16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rajat</w:t>
            </w:r>
          </w:p>
          <w:p w14:paraId="1962E3FB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CEO</w:t>
            </w:r>
          </w:p>
          <w:p w14:paraId="01D0D560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11x inc</w:t>
            </w:r>
          </w:p>
          <w:p w14:paraId="43967866" w14:textId="77777777" w:rsidR="00B073E6" w:rsidRDefault="00000000">
            <w:pPr>
              <w:spacing w:after="4"/>
            </w:pPr>
            <w:r>
              <w:rPr>
                <w:color w:val="1A1A1A"/>
              </w:rPr>
              <w:t>rajat@gmail.com</w:t>
            </w:r>
          </w:p>
          <w:p w14:paraId="7E95C78E" w14:textId="77777777" w:rsidR="00B073E6" w:rsidRDefault="00000000">
            <w:r>
              <w:rPr>
                <w:color w:val="1A1A1A"/>
              </w:rPr>
              <w:t>9876543210</w:t>
            </w:r>
          </w:p>
        </w:tc>
      </w:tr>
      <w:tr w:rsidR="00B073E6" w14:paraId="0264A995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8BBA4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4345A" wp14:editId="310928B4">
                  <wp:extent cx="2905125" cy="1905000"/>
                  <wp:effectExtent l="0" t="0" r="0" b="0"/>
                  <wp:docPr id="1415726076" name="Picture 1415726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C0252D"/>
            <w:tcMar>
              <w:top w:w="0" w:type="dxa"/>
              <w:left w:w="440" w:type="dxa"/>
              <w:bottom w:w="0" w:type="dxa"/>
              <w:right w:w="440" w:type="dxa"/>
            </w:tcMar>
            <w:vAlign w:val="center"/>
          </w:tcPr>
          <w:p w14:paraId="7BB37883" w14:textId="77777777" w:rsidR="00B073E6" w:rsidRDefault="00B073E6">
            <w:pPr>
              <w:spacing w:after="60"/>
            </w:pPr>
          </w:p>
          <w:p w14:paraId="2F233632" w14:textId="77777777" w:rsidR="00B073E6" w:rsidRDefault="00000000">
            <w:pPr>
              <w:spacing w:after="6"/>
            </w:pPr>
            <w:r>
              <w:rPr>
                <w:b/>
                <w:bCs/>
                <w:color w:val="FFFFFF"/>
                <w:sz w:val="22"/>
                <w:szCs w:val="22"/>
                <w:u w:val="single"/>
              </w:rPr>
              <w:t>Prepared by:</w:t>
            </w:r>
          </w:p>
          <w:p w14:paraId="74E2F8B3" w14:textId="77777777" w:rsidR="00B073E6" w:rsidRDefault="00B073E6">
            <w:pPr>
              <w:spacing w:after="16"/>
            </w:pPr>
          </w:p>
          <w:p w14:paraId="426BD161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Siddharth Kohli</w:t>
            </w:r>
          </w:p>
          <w:p w14:paraId="3D4C54E0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10x Global Private Limited</w:t>
            </w:r>
          </w:p>
          <w:p w14:paraId="3460D8A9" w14:textId="77777777" w:rsidR="00B073E6" w:rsidRDefault="00000000">
            <w:r>
              <w:rPr>
                <w:color w:val="FFFFFF"/>
              </w:rPr>
              <w:t>siddharth@10xglobal.in</w:t>
            </w:r>
          </w:p>
        </w:tc>
      </w:tr>
    </w:tbl>
    <w:p w14:paraId="6ACA78F7" w14:textId="77777777" w:rsidR="00B073E6" w:rsidRDefault="00B073E6">
      <w:pPr>
        <w:sectPr w:rsidR="00B073E6" w:rsidSect="00B02474">
          <w:type w:val="continuous"/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42F9988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F92A4" w14:textId="77777777" w:rsidR="00B073E6" w:rsidRDefault="00000000">
            <w:r>
              <w:rPr>
                <w:b/>
                <w:bCs/>
                <w:color w:val="FFFFFF"/>
                <w:sz w:val="28"/>
                <w:szCs w:val="28"/>
              </w:rPr>
              <w:lastRenderedPageBreak/>
              <w:t>Table of Contents</w:t>
            </w:r>
          </w:p>
        </w:tc>
      </w:tr>
    </w:tbl>
    <w:p w14:paraId="7C5D9C74" w14:textId="77777777" w:rsidR="00B073E6" w:rsidRDefault="00B073E6">
      <w:pPr>
        <w:spacing w:after="40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A7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F4FB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A8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C0252D"/>
                <w:sz w:val="22"/>
                <w:szCs w:val="22"/>
              </w:rPr>
              <w:t xml:space="preserve">Background: </w:t>
            </w:r>
            <w:r>
              <w:rPr>
                <w:rFonts w:ascii="Quicksand" w:eastAsia="Quicksand" w:hAnsi="Quicksand" w:cs="Quicksand"/>
                <w:color w:val="1A1A1A"/>
                <w:sz w:val="22"/>
                <w:szCs w:val="22"/>
              </w:rPr>
              <w:t>11x inc is a leading company that provides quality services and solutions to its clients.</w:t>
            </w:r>
          </w:p>
        </w:tc>
      </w:tr>
    </w:tbl>
    <w:p w14:paraId="000010A9" w14:textId="77777777" w:rsidR="00B073E6" w:rsidRDefault="00B073E6">
      <w:pPr>
        <w:spacing w:after="36"/>
      </w:pPr>
    </w:p>
    <w:p w14:paraId="000010AA" w14:textId="77777777" w:rsidR="002549F2" w:rsidRDefault="002549F2">
      <w:pPr>
        <w:spacing w:before="140" w:after="120" w:line="260" w:lineRule="auto"/>
        <w:rPr>
          <w:rFonts w:ascii="Quicksand" w:eastAsia="Quicksand" w:hAnsi="Quicksand" w:cs="Quicksand"/>
          <w:b/>
          <w:color w:val="A31134"/>
          <w:sz w:val="22"/>
          <w:szCs w:val="22"/>
        </w:rPr>
      </w:pPr>
      <w:r>
        <w:rPr>
          <w:rFonts w:ascii="Quicksand" w:eastAsia="Quicksand" w:hAnsi="Quicksand" w:cs="Quicksand"/>
          <w:b/>
          <w:color w:val="A31134"/>
          <w:sz w:val="22"/>
          <w:szCs w:val="22"/>
        </w:rPr>
        <w:t>United States</w:t>
      </w:r>
    </w:p>
    <w:p w14:paraId="000010AB" w14:textId="77777777" w:rsidR="002549F2" w:rsidRDefault="002549F2">
      <w:pPr>
        <w:spacing w:before="40" w:after="40" w:line="220" w:lineRule="auto"/>
      </w:pPr>
      <w:r>
        <w:rPr>
          <w:rFonts w:ascii="Quicksand" w:eastAsia="Quicksand" w:hAnsi="Quicksand" w:cs="Quicksand"/>
          <w:sz w:val="22"/>
          <w:szCs w:val="22"/>
        </w:rPr>
        <w:t xml:space="preserve"> </w:t>
      </w:r>
    </w:p>
    <w:p w14:paraId="000010AC" w14:textId="77777777" w:rsidR="00B073E6" w:rsidRDefault="00B073E6">
      <w:pPr>
        <w:spacing w:before="80" w:after="60"/>
      </w:pPr>
      <w:r>
        <w:rPr>
          <w:rFonts w:ascii="Quicksand" w:eastAsia="Quicksand" w:hAnsi="Quicksand" w:cs="Quicksand"/>
          <w:b/>
          <w:bCs/>
          <w:color w:val="1B3A5C"/>
          <w:sz w:val="20"/>
          <w:szCs w:val="20"/>
        </w:rPr>
        <w:t>IN-SCOPE PROCESSES / SERVICES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7"/>
        <w:gridCol w:w="2972"/>
      </w:tblGrid>
      <w:tr w:rsidR="00B073E6" w14:paraId="000010A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A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Section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AF" w14:textId="77777777" w:rsidR="00B073E6" w:rsidRDefault="00B073E6">
            <w:pPr>
              <w:spacing w:after="28" w:line="244" w:lineRule="auto"/>
              <w:jc w:val="right"/>
            </w:pPr>
          </w:p>
        </w:tc>
      </w:tr>
      <w:tr w:rsidR="00B073E6" w14:paraId="000010B0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US Compliances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2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</w:tbl>
    <w:p w14:paraId="000010B3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0B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B5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A.  US Compliances</w:t>
            </w:r>
          </w:p>
        </w:tc>
      </w:tr>
      <w:tr w:rsidR="00B073E6" w14:paraId="000010B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B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0BC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D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  <w:p w14:paraId="000010B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Day-to-day US accounting with proper description and supporting documentation.</w:t>
            </w:r>
          </w:p>
          <w:p w14:paraId="000010C0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Bank reconciliations; records of all US tax challans and statutory payments.</w:t>
            </w:r>
          </w:p>
          <w:p w14:paraId="000010C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Not included: US banking relationship management; multi-state nexus analysis; tax audit representation; international tax compliance.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C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US banking access; invoices/receipts within 48 hrs; US accounting software access; quarterly income estimates.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C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≤300 entries; ≤3 US bank accounts; ≤50 invoices/month.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C4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USD 800/month</w:t>
            </w:r>
          </w:p>
        </w:tc>
      </w:tr>
    </w:tbl>
    <w:p w14:paraId="000010C5" w14:textId="77777777" w:rsidR="00B073E6" w:rsidRDefault="00B073E6">
      <w:pPr>
        <w:spacing w:after="36"/>
      </w:pPr>
    </w:p>
    <w:p w14:paraId="000010C6" w14:textId="77777777" w:rsidR="00B073E6" w:rsidRDefault="00000000">
      <w:pPr>
        <w:spacing w:after="60"/>
      </w:pPr>
      <w:r>
        <w:rPr>
          <w:rFonts w:ascii="Quicksand" w:eastAsia="Quicksand" w:hAnsi="Quicksand" w:cs="Quicksand"/>
          <w:b/>
          <w:bCs/>
          <w:color w:val="1B3A5C"/>
          <w:sz w:val="28"/>
          <w:szCs w:val="28"/>
        </w:rPr>
        <w:t>Summary of Fees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545"/>
        <w:gridCol w:w="3504"/>
        <w:gridCol w:w="1402"/>
        <w:gridCol w:w="2180"/>
      </w:tblGrid>
      <w:tr w:rsidR="00B073E6" w14:paraId="000010C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C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C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Sub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C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Description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C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Frequency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CC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0CD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C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C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D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D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D2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USD 800/month</w:t>
            </w:r>
          </w:p>
        </w:tc>
      </w:tr>
    </w:tbl>
    <w:p w14:paraId="000010D3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5"/>
        <w:gridCol w:w="5715"/>
      </w:tblGrid>
      <w:tr w:rsidR="00B073E6" w14:paraId="000010D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D5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Team Deployment &amp; Notes</w:t>
            </w:r>
          </w:p>
        </w:tc>
      </w:tr>
      <w:tr w:rsidR="00B073E6" w14:paraId="000010D6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D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Article: CA pursuing candidate who has cleared Intermediate Level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D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Analyst: CA (Semi- Qualified) or Accountant with minimum 1 year experience, along with 3 years of articleship exposure</w:t>
            </w:r>
          </w:p>
        </w:tc>
      </w:tr>
      <w:tr w:rsidR="00B073E6" w14:paraId="000010D9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D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Analyst: CA (Semi- Qualified) or Accountant with minimum 2 year experience, along with 3 years of articleship exposure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D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[semi qualified or with minimum 2 years of accounting and finance experience for day-to-day accounting entries and co-ordination]- Qualified CA fresher (with 3 years articleship) or minimum 4 years experience as finance professional</w:t>
            </w:r>
          </w:p>
        </w:tc>
      </w:tr>
      <w:tr w:rsidR="00B073E6" w14:paraId="000010DC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D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Associate / AM: Qualified CA with 3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D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Assistant Manager: Qualified CA with 4 years of relevant post qualification experience in accounting / tax / secretarial compliance</w:t>
            </w:r>
          </w:p>
        </w:tc>
      </w:tr>
      <w:tr w:rsidR="00B073E6" w14:paraId="000010DF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E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Manager: Qualified CA with 5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E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Manager: Qualified CA with 6 years of relevant post qualification experience in accounting / tax / secretarial compliance</w:t>
            </w:r>
          </w:p>
        </w:tc>
      </w:tr>
      <w:tr w:rsidR="00B073E6" w14:paraId="000010E2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E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Director / Partner [escalation, queries, review meetings, relationship manager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E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000010E5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E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E7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General Scope Exclusions</w:t>
            </w:r>
          </w:p>
        </w:tc>
      </w:tr>
      <w:tr w:rsidR="00B073E6" w14:paraId="000010E8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E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 certification unless otherwise included in the scope</w:t>
            </w:r>
          </w:p>
        </w:tc>
      </w:tr>
      <w:tr w:rsidR="00B073E6" w14:paraId="000010EA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E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Drafting / review of legal agreements or customer contracts</w:t>
            </w:r>
          </w:p>
        </w:tc>
      </w:tr>
      <w:tr w:rsidR="00B073E6" w14:paraId="000010EC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E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Assistance in due diligence in case of funding round</w:t>
            </w:r>
          </w:p>
        </w:tc>
      </w:tr>
      <w:tr w:rsidR="00B073E6" w14:paraId="000010EE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E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 or any other assistance in case of M&amp;A</w:t>
            </w:r>
          </w:p>
        </w:tc>
      </w:tr>
      <w:tr w:rsidR="00B073E6" w14:paraId="000010F0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F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Representation before the tax or other authorities unless otherwise agreed in the scope</w:t>
            </w:r>
          </w:p>
        </w:tc>
      </w:tr>
      <w:tr w:rsidR="00B073E6" w14:paraId="000010F2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F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Anything specifically not mentioned in the scope shall be deemed excluded</w:t>
            </w:r>
          </w:p>
        </w:tc>
      </w:tr>
    </w:tbl>
    <w:p w14:paraId="000010F4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F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F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Commercials</w:t>
            </w:r>
          </w:p>
        </w:tc>
      </w:tr>
      <w:tr w:rsidR="00B073E6" w14:paraId="000010F7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F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All fees are exclusive of GST as applicable.</w:t>
            </w:r>
          </w:p>
        </w:tc>
      </w:tr>
      <w:tr w:rsidR="00B073E6" w14:paraId="000010F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F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Government fee and out of pocket expenses shall be reimbursed on actual basis</w:t>
            </w:r>
          </w:p>
        </w:tc>
      </w:tr>
    </w:tbl>
    <w:sectPr w:rsidR="00E0785E" w:rsidSect="00B02474">
      <w:headerReference w:type="default" r:id="rId10"/>
      <w:type w:val="continuous"/>
      <w:pgSz w:w="16838" w:h="11906"/>
      <w:pgMar w:top="1080" w:right="0" w:bottom="1080" w:left="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