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Vikas Sharma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vikas.sharma@multitvsolution.com</w:t></w:r></w:p><w:p w14:paraId="7E95C78E" w14:textId="77777777" w:rsidR="00B073E6" w:rsidRDefault="00000000"><w:r><w:rPr><w:color w:val="1A1A1A"/></w:rPr><w:t>8447165195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F0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F09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F0A" w14:textId="77777777" w:rsidR="00B073E6" w:rsidRDefault="00B073E6"><w:pPr><w:spacing w:after="36"/></w:pPr></w:p><w:p w14:paraId="00001F0B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F0C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F0D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F0E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0F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10" w14:textId="77777777" w:rsidR="00B073E6" w:rsidRDefault="00B073E6"><w:pPr><w:spacing w:after="28" w:line="244" w:lineRule="auto"/><w:jc w:val="right"/></w:pPr></w:p></w:tc></w:tr><w:tr w:rsidR="00B073E6" w14:paraId="00001F11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12" w14:textId="77777777" w:rsidR="00B073E6" w:rsidRDefault="00000000"><w:pPr><w:spacing w:after="28" w:line="244" w:lineRule="auto"/></w:pPr><w:r><w:rPr><w:b/><w:bCs/><w:color w:val="1B6B6B"/><w:sz w:val="18"/><w:szCs w:val="18"/></w:rPr><w:t>F.</w:t></w:r><w:r><w:rPr><w:color w:val="1A1A1A"/><w:sz w:val="18"/><w:szCs w:val="18"/></w:rPr><w:t xml:space="preserve">  Payroll Processing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13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F14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15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16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F17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18" w14:textId="77777777" w:rsidR="00B073E6" w:rsidRDefault="00000000"><w:pPr><w:spacing w:after="28" w:line="244" w:lineRule="auto"/></w:pPr><w:r><w:rPr><w:b/><w:bCs/><w:color w:val="1B6B6B"/><w:sz w:val="18"/><w:szCs w:val="18"/></w:rPr><w:t>J.</w:t></w:r><w:r><w:rPr><w:color w:val="1A1A1A"/><w:sz w:val="18"/><w:szCs w:val="18"/></w:rPr><w:t xml:space="preserve">  Financial Due Diligence – Buy-Side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19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F1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F1B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F1C" w14:textId="77777777" w:rsidR="00B073E6" w:rsidRDefault="00000000"><w:pPr><w:spacing w:after="28" w:line="244" w:lineRule="auto"/></w:pPr><w:r><w:rPr><w:b/><w:bCs/><w:color w:val="FFFFFF"/><w:sz w:val="22"/><w:szCs w:val="22"/></w:rPr><w:t xml:space="preserve">F.  Payroll Processing</w:t></w:r></w:p></w:tc></w:tr><w:tr w:rsidR="00B073E6" w14:paraId="00001F1D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1E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1F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20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21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22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F23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24" w14:textId="77777777" w:rsidR="00B073E6" w:rsidRDefault="00000000"><w:pPr><w:spacing w:after="28" w:line="244" w:lineRule="auto"/></w:pPr><w:r><w:rPr><w:b/><w:bCs/><w:color w:val="1B6B6B"/><w:sz w:val="18"/><w:szCs w:val="18"/></w:rPr><w:t>F1</w:t></w:r></w:p><w:p w14:paraId="00001F25" w14:textId="77777777" w:rsidR="00B073E6" w:rsidRDefault="00000000"><w:pPr><w:spacing w:after="4" w:line="244" w:lineRule="auto"/></w:pPr><w:r><w:rPr><w:color w:val="1A1A1A"/><w:sz w:val="18"/><w:szCs w:val="18"/></w:rPr><w:t>Initial Setup (One-Time)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26" w14:textId="77777777" w:rsidR="00B073E6" w:rsidRDefault="00000000"><w:pPr><w:spacing w:after="28" w:line="244" w:lineRule="auto"/></w:pPr><w:r><w:rPr><w:color w:val="1A1A1A"/><w:sz w:val="18"/><w:szCs w:val="18"/></w:rPr><w:t>Review salary SOP and HR function; suggest improvements.</w:t></w:r></w:p><w:p w14:paraId="00001F27" w14:textId="77777777" w:rsidR="00B073E6" w:rsidRDefault="00000000"><w:pPr><w:spacing w:after="28" w:line="244" w:lineRule="auto"/></w:pPr><w:r><w:rPr><w:color w:val="1A1A1A"/><w:sz w:val="18"/><w:szCs w:val="18"/></w:rPr><w:t>Set up employee master with salary structure and PF/ESI applicability.</w:t></w:r></w:p><w:p w14:paraId="00001F28" w14:textId="77777777" w:rsidR="00B073E6" w:rsidRDefault="00000000"><w:pPr><w:spacing w:after="28" w:line="244" w:lineRule="auto"/></w:pPr><w:r><w:rPr><w:color w:val="1A1A1A"/><w:sz w:val="18"/><w:szCs w:val="18"/></w:rPr><w:t>Registration under ESIC and EPFO Acts.</w:t></w:r></w:p><w:p w14:paraId="00001F29" w14:textId="77777777" w:rsidR="00B073E6" w:rsidRDefault="00000000"><w:pPr><w:spacing w:after="28" w:line="244" w:lineRule="auto"/></w:pPr><w:r><w:rPr><w:color w:val="1A1A1A"/><w:sz w:val="18"/><w:szCs w:val="18"/></w:rPr><w:t>Not included: HR policy creation/modification; employment contracts; recruitment; performance management; grievance resolution; leave policy modification.</w:t></w:r></w:p><w:p w14:paraId="00001F2A" w14:textId="77777777" w:rsidR="00B073E6" w:rsidRDefault="00000000"><w:pPr><w:spacing w:after="4" w:line="244" w:lineRule="auto"/></w:pPr><w:r><w:rPr><w:color w:val="1A1A1A"/><w:sz w:val="18"/><w:szCs w:val="18"/></w:rPr><w:t>Complete employee database with historical salary data; existing HR policies and salary structures.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2B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2C" w14:textId="77777777" w:rsidR="00B073E6" w:rsidRDefault="00000000"><w:pPr><w:spacing w:after="4" w:line="244" w:lineRule="auto"/></w:pPr><w:r><w:rPr><w:color w:val="1A1A1A"/><w:sz w:val="18"/><w:szCs w:val="18"/></w:rPr><w:t>Setup for ≤100 employees.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2D" w14:textId="77777777" w:rsidR="00B073E6" w:rsidRDefault="00000000"><w:pPr><w:spacing w:after="4" w:line="244" w:lineRule="auto"/><w:jc w:val="right"/></w:pPr><w:r><w:rPr><w:b/><w:bCs/><w:color w:val="1B3A5C"/><w:sz w:val="18"/><w:szCs w:val="18"/></w:rPr><w:t>₹25,000 one-time</w:t></w:r></w:p></w:tc></w:tr></w:tbl><w:p w14:paraId="00001F2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F2F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F30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F31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32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33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34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35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36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F37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38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F39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3A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F3B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F3C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F3D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F3E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F3F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40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F41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42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43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F4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F45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F46" w14:textId="77777777" w:rsidR="00B073E6" w:rsidRDefault="00000000"><w:pPr><w:spacing w:after="28" w:line="244" w:lineRule="auto"/></w:pPr><w:r><w:rPr><w:b/><w:bCs/><w:color w:val="FFFFFF"/><w:sz w:val="22"/><w:szCs w:val="22"/></w:rPr><w:t xml:space="preserve">J.  Financial Due Diligence – Buy-Side</w:t></w:r></w:p></w:tc></w:tr><w:tr w:rsidR="00B073E6" w14:paraId="00001F47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48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49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4A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4B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4C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F4D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4E" w14:textId="77777777" w:rsidR="00B073E6" w:rsidRDefault="00000000"><w:pPr><w:spacing w:after="28" w:line="244" w:lineRule="auto"/></w:pPr><w:r><w:rPr><w:b/><w:bCs/><w:color w:val="1B6B6B"/><w:sz w:val="18"/><w:szCs w:val="18"/></w:rPr><w:t>J1</w:t></w:r></w:p><w:p w14:paraId="00001F4F" w14:textId="77777777" w:rsidR="00B073E6" w:rsidRDefault="00000000"><w:pPr><w:spacing w:after="4" w:line="244" w:lineRule="auto"/></w:pPr><w:r><w:rPr><w:color w:val="1A1A1A"/><w:sz w:val="18"/><w:szCs w:val="18"/></w:rPr><w:t>Buy-Side FDD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50" w14:textId="77777777" w:rsidR="00B073E6" w:rsidRDefault="00000000"><w:pPr><w:spacing w:after="28" w:line="244" w:lineRule="auto"/></w:pPr><w:r><w:rPr><w:color w:val="1A1A1A"/><w:sz w:val="18"/><w:szCs w:val="18"/></w:rPr><w:t>Quality of Earnings and Profitability evaluation.</w:t></w:r></w:p><w:p w14:paraId="00001F51" w14:textId="77777777" w:rsidR="00B073E6" w:rsidRDefault="00000000"><w:pPr><w:spacing w:after="28" w:line="244" w:lineRule="auto"/></w:pPr><w:r><w:rPr><w:color w:val="1A1A1A"/><w:sz w:val="18"/><w:szCs w:val="18"/></w:rPr><w:t>Working Capital and Cash Flow Assessment.</w:t></w:r></w:p><w:p w14:paraId="00001F52" w14:textId="77777777" w:rsidR="00B073E6" w:rsidRDefault="00000000"><w:pPr><w:spacing w:after="28" w:line="244" w:lineRule="auto"/></w:pPr><w:r><w:rPr><w:color w:val="1A1A1A"/><w:sz w:val="18"/><w:szCs w:val="18"/></w:rPr><w:t>Net Debt and Balance Sheet Health review.</w:t></w:r></w:p><w:p w14:paraId="00001F53" w14:textId="77777777" w:rsidR="00B073E6" w:rsidRDefault="00000000"><w:pPr><w:spacing w:after="28" w:line="244" w:lineRule="auto"/></w:pPr><w:r><w:rPr><w:color w:val="1A1A1A"/><w:sz w:val="18"/><w:szCs w:val="18"/></w:rPr><w:t>Tax, Compliance and Related Party Transactions analysis.</w:t></w:r></w:p><w:p w14:paraId="00001F54" w14:textId="77777777" w:rsidR="00B073E6" w:rsidRDefault="00000000"><w:pPr><w:spacing w:after="28" w:line="244" w:lineRule="auto"/></w:pPr><w:r><w:rPr><w:color w:val="1A1A1A"/><w:sz w:val="18"/><w:szCs w:val="18"/></w:rPr><w:t>Business Plan Review and Deal Implications.</w:t></w:r></w:p><w:p w14:paraId="00001F55" w14:textId="77777777" w:rsidR="00B073E6" w:rsidRDefault="00000000"><w:pPr><w:spacing w:after="28" w:line="244" w:lineRule="auto"/></w:pPr><w:r><w:rPr><w:color w:val="1A1A1A"/><w:sz w:val="18"/><w:szCs w:val="18"/></w:rPr><w:t>Detailed FDD report with findings and recommendations.</w:t></w:r></w:p><w:p w14:paraId="00001F56" w14:textId="77777777" w:rsidR="00B073E6" w:rsidRDefault="00000000"><w:pPr><w:spacing w:after="28" w:line="244" w:lineRule="auto"/></w:pPr><w:r><w:rPr><w:color w:val="1A1A1A"/><w:sz w:val="18"/><w:szCs w:val="18"/></w:rPr><w:t>Not included: Legal due diligence; commercial due diligence; tax advisory; valuation services.</w:t></w:r></w:p><w:p w14:paraId="00001F57" w14:textId="77777777" w:rsidR="00B073E6" w:rsidRDefault="00000000"><w:pPr><w:spacing w:after="28" w:line="244" w:lineRule="auto"/></w:pPr><w:r><w:rPr><w:color w:val="1A1A1A"/><w:sz w:val="18"/><w:szCs w:val="18"/></w:rPr><w:t>Access to target company financial records; facilitate management meetings.</w:t></w:r></w:p><w:p w14:paraId="00001F58" w14:textId="77777777" w:rsidR="00B073E6" w:rsidRDefault="00000000"><w:pPr><w:spacing w:after="28" w:line="244" w:lineRule="auto"/></w:pPr><w:r><w:rPr><w:color w:val="1A1A1A"/><w:sz w:val="18"/><w:szCs w:val="18"/></w:rPr><w:t>Support data room access; coordinate with other advisors.</w:t></w:r></w:p><w:p w14:paraId="00001F59" w14:textId="77777777" w:rsidR="00B073E6" w:rsidRDefault="00000000"><w:pPr><w:spacing w:after="4" w:line="244" w:lineRule="auto"/></w:pPr><w:r><w:rPr><w:color w:val="1A1A1A"/><w:sz w:val="18"/><w:szCs w:val="18"/></w:rPr><w:t>Complete financial review: QoE analysis; working capital; debt/balance sheet; management projections.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5A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5B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5C" w14:textId="77777777" w:rsidR="00B073E6" w:rsidRDefault="00000000"><w:pPr><w:spacing w:after="4" w:line="244" w:lineRule="auto"/><w:jc w:val="right"/></w:pPr><w:r><w:rPr><w:b/><w:bCs/><w:color w:val="1B3A5C"/><w:sz w:val="18"/><w:szCs w:val="18"/></w:rPr><w:t>₹500,000 one-time</w:t></w:r></w:p></w:tc></w:tr></w:tbl><w:p w14:paraId="00001F5D" w14:textId="77777777" w:rsidR="00B073E6" w:rsidRDefault="00B073E6"><w:pPr><w:spacing w:after="36"/></w:pPr></w:p><w:p w14:paraId="00001F5E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F5F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60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61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62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63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F64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F65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66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67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68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69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6A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F6B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6C" w14:textId="77777777" w:rsidR="00B073E6" w:rsidRDefault="00000000"><w:pPr><w:spacing w:after="4" w:line="244" w:lineRule="auto"/></w:pPr><w:r><w:rPr><w:b/><w:bCs/><w:color w:val="1B3A5C"/><w:sz w:val="18"/><w:szCs w:val="18"/></w:rPr><w:t>F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6D" w14:textId="77777777" w:rsidR="00B073E6" w:rsidRDefault="00000000"><w:pPr><w:spacing w:after="4" w:line="244" w:lineRule="auto"/></w:pPr><w:r><w:rPr><w:b/><w:bCs/><w:color w:val="1B6B6B"/><w:sz w:val="18"/><w:szCs w:val="18"/></w:rPr><w:t>F1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6E" w14:textId="77777777" w:rsidR="00B073E6" w:rsidRDefault="00000000"><w:pPr><w:spacing w:after="4" w:line="244" w:lineRule="auto"/></w:pPr><w:r><w:rPr><w:color w:val="1A1A1A"/><w:sz w:val="18"/><w:szCs w:val="18"/></w:rPr><w:t>Initial Setup (One-Time)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6F" w14:textId="77777777" w:rsidR="00B073E6" w:rsidRDefault="00000000"><w:pPr><w:spacing w:after="4" w:line="244" w:lineRule="auto"/></w:pPr><w:r><w:rPr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70" w14:textId="77777777" w:rsidR="00B073E6" w:rsidRDefault="00000000"><w:pPr><w:spacing w:after="4" w:line="244" w:lineRule="auto"/><w:jc w:val="right"/></w:pPr><w:r><w:rPr><w:b/><w:bCs/><w:color w:val="1B3A5C"/><w:sz w:val="18"/><w:szCs w:val="18"/></w:rPr><w:t>₹25,000 one-time</w:t></w:r></w:p></w:tc></w:tr><w:tr w:rsidR="00B073E6" w14:paraId="00001F71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72" w14:textId="77777777" w:rsidR="00B073E6" w:rsidRDefault="00000000"><w:pPr><w:spacing w:after="4" w:line="244" w:lineRule="auto"/></w:pPr><w:r><w:rPr><w:b/><w:bCs/><w:color w:val="1B3A5C"/><w:sz w:val="18"/><w:szCs w:val="18"/></w:rPr><w:t>J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73" w14:textId="77777777" w:rsidR="00B073E6" w:rsidRDefault="00000000"><w:pPr><w:spacing w:after="4" w:line="244" w:lineRule="auto"/></w:pPr><w:r><w:rPr><w:b/><w:bCs/><w:color w:val="1B6B6B"/><w:sz w:val="18"/><w:szCs w:val="18"/></w:rPr><w:t>J1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74" w14:textId="77777777" w:rsidR="00B073E6" w:rsidRDefault="00000000"><w:pPr><w:spacing w:after="4" w:line="244" w:lineRule="auto"/></w:pPr><w:r><w:rPr><w:color w:val="1A1A1A"/><w:sz w:val="18"/><w:szCs w:val="18"/></w:rPr><w:t>Buy-Side FDD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75" w14:textId="77777777" w:rsidR="00B073E6" w:rsidRDefault="00000000"><w:pPr><w:spacing w:after="4" w:line="244" w:lineRule="auto"/></w:pPr><w:r><w:rPr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76" w14:textId="77777777" w:rsidR="00B073E6" w:rsidRDefault="00000000"><w:pPr><w:spacing w:after="4" w:line="244" w:lineRule="auto"/><w:jc w:val="right"/></w:pPr><w:r><w:rPr><w:b/><w:bCs/><w:color w:val="1B3A5C"/><w:sz w:val="18"/><w:szCs w:val="18"/></w:rPr><w:t>₹500,000 one-time</w:t></w:r></w:p></w:tc></w:tr></w:tbl><w:p w14:paraId="00001F7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F78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F79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F7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7B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7C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F7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7E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7F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F8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81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82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F8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84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85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F8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87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88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F8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F8A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F8B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F8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8D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F8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8F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F9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91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F9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93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F9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95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F9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97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F9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F99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F9A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F9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F9C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F9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F9E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