
<file path=[Content_Types].xml><?xml version="1.0" encoding="utf-8"?>
<Types xmlns="http://schemas.openxmlformats.org/package/2006/content-types">
  <Default Extension="ttf" ContentType="application/x-font-tt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75"/>
        <w:gridCol w:w="7131"/>
      </w:tblGrid>
      <w:tr w:rsidR="00B073E6" w14:paraId="77BF749C" w14:textId="77777777">
        <w:tblPrEx>
          <w:tblCellMar>
            <w:top w:w="0" w:type="dxa"/>
            <w:bottom w:w="0" w:type="dxa"/>
          </w:tblCellMar>
        </w:tblPrEx>
        <w:trPr>
          <w:trHeight w:hRule="exact" w:val="56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45E56185" w14:textId="77777777" w:rsidR="00B073E6" w:rsidRDefault="00B073E6">
            <w:pPr>
              <w:spacing w:after="60"/>
            </w:pP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0BDB1259" w14:textId="77777777" w:rsidR="00B073E6" w:rsidRDefault="00B073E6">
            <w:pPr>
              <w:spacing w:after="320"/>
            </w:pPr>
          </w:p>
          <w:p w14:paraId="6E5B8A70" w14:textId="77777777" w:rsidR="00B073E6" w:rsidRDefault="00000000">
            <w:pPr>
              <w:spacing w:after="20"/>
            </w:pPr>
            <w:r>
              <w:rPr>
                <w:noProof/>
              </w:rPr>
              <w:drawing>
                <wp:inline distT="0" distB="0" distL="0" distR="0" wp14:anchorId="10AAB7B4" wp14:editId="005628FF">
                  <wp:extent cx="1524000" cy="2952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295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DAEE09" w14:textId="77777777" w:rsidR="00B073E6" w:rsidRDefault="00B073E6">
            <w:pPr>
              <w:spacing w:after="120"/>
            </w:pPr>
          </w:p>
          <w:p w14:paraId="11EAB925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Proposal</w:t>
            </w:r>
          </w:p>
          <w:p w14:paraId="74CD8D2A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For</w:t>
            </w:r>
          </w:p>
          <w:p w14:paraId="0CAD8477" w14:textId="77777777" w:rsidR="00B073E6" w:rsidRDefault="00000000">
            <w:r>
              <w:rPr>
                <w:b/>
                <w:bCs/>
                <w:color w:val="1B3A5C"/>
                <w:sz w:val="52"/>
                <w:szCs w:val="52"/>
              </w:rPr>
              <w:t>Services</w:t>
            </w:r>
          </w:p>
        </w:tc>
      </w:tr>
      <w:tr w:rsidR="00B073E6" w14:paraId="53159602" w14:textId="77777777">
        <w:tblPrEx>
          <w:tblCellMar>
            <w:top w:w="0" w:type="dxa"/>
            <w:bottom w:w="0" w:type="dxa"/>
          </w:tblCellMar>
        </w:tblPrEx>
        <w:trPr>
          <w:trHeight w:hRule="exact" w:val="49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E98B66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F5F62" wp14:editId="3FAAF48A">
                  <wp:extent cx="2905125" cy="2952750"/>
                  <wp:effectExtent l="0" t="0" r="0" b="0"/>
                  <wp:docPr id="549372356" name="Picture 5493723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2952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FFFFFF"/>
            <w:tcMar>
              <w:top w:w="0" w:type="dxa"/>
              <w:left w:w="440" w:type="dxa"/>
              <w:bottom w:w="0" w:type="dxa"/>
              <w:right w:w="440" w:type="dxa"/>
            </w:tcMar>
          </w:tcPr>
          <w:p w14:paraId="48956BF2" w14:textId="77777777" w:rsidR="00B073E6" w:rsidRDefault="00B073E6">
            <w:pPr>
              <w:spacing w:after="60"/>
            </w:pPr>
          </w:p>
          <w:p w14:paraId="275AFCFB" w14:textId="77777777" w:rsidR="00B073E6" w:rsidRDefault="00000000">
            <w:pPr>
              <w:spacing w:after="6"/>
            </w:pPr>
            <w:r>
              <w:rPr>
                <w:b/>
                <w:bCs/>
                <w:color w:val="1A1A1A"/>
                <w:sz w:val="22"/>
                <w:szCs w:val="22"/>
                <w:u w:val="single"/>
              </w:rPr>
              <w:t>Prepared for:</w:t>
            </w:r>
          </w:p>
          <w:p w14:paraId="68A7E965" w14:textId="77777777" w:rsidR="00B073E6" w:rsidRDefault="00B073E6">
            <w:pPr>
              <w:spacing w:after="16"/>
            </w:pPr>
          </w:p>
          <w:p w14:paraId="0CB1BB16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Vikas Sharma</w:t>
            </w:r>
          </w:p>
          <w:p w14:paraId="1962E3FB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CEO</w:t>
            </w:r>
          </w:p>
          <w:p w14:paraId="01D0D560" w14:textId="77777777" w:rsidR="00B073E6" w:rsidRDefault="00000000">
            <w:pPr>
              <w:spacing w:after="4"/>
            </w:pPr>
            <w:r>
              <w:rPr>
                <w:b/>
                <w:bCs/>
                <w:color w:val="1A1A1A"/>
                <w:sz w:val="22"/>
                <w:szCs w:val="22"/>
              </w:rPr>
              <w:t>MultiTV Tech Solutions Pvt Ltd</w:t>
            </w:r>
          </w:p>
          <w:p w14:paraId="43967866" w14:textId="77777777" w:rsidR="00B073E6" w:rsidRDefault="00000000">
            <w:pPr>
              <w:spacing w:after="4"/>
            </w:pPr>
            <w:r>
              <w:rPr>
                <w:color w:val="1A1A1A"/>
              </w:rPr>
              <w:t>vikas.sharma@multitvsolution.com</w:t>
            </w:r>
          </w:p>
          <w:p w14:paraId="7E95C78E" w14:textId="77777777" w:rsidR="00B073E6" w:rsidRDefault="00000000">
            <w:r>
              <w:rPr>
                <w:color w:val="1A1A1A"/>
              </w:rPr>
              <w:t>8447165195</w:t>
            </w:r>
          </w:p>
        </w:tc>
      </w:tr>
      <w:tr w:rsidR="00B073E6" w14:paraId="0264A995" w14:textId="77777777">
        <w:tblPrEx>
          <w:tblCellMar>
            <w:top w:w="0" w:type="dxa"/>
            <w:bottom w:w="0" w:type="dxa"/>
          </w:tblCellMar>
        </w:tblPrEx>
        <w:trPr>
          <w:trHeight w:hRule="exact" w:val="3200"/>
        </w:trPr>
        <w:tc>
          <w:tcPr>
            <w:tcW w:w="4400" w:type="dxa"/>
            <w:shd w:val="clear" w:color="auto" w:fill="111111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7E28BBA4" w14:textId="77777777" w:rsidR="00B073E6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C74345A" wp14:editId="310928B4">
                  <wp:extent cx="2905125" cy="1905000"/>
                  <wp:effectExtent l="0" t="0" r="0" b="0"/>
                  <wp:docPr id="1415726076" name="Picture 14157260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5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6" w:type="dxa"/>
            <w:shd w:val="clear" w:color="auto" w:fill="C0252D"/>
            <w:tcMar>
              <w:top w:w="0" w:type="dxa"/>
              <w:left w:w="440" w:type="dxa"/>
              <w:bottom w:w="0" w:type="dxa"/>
              <w:right w:w="440" w:type="dxa"/>
            </w:tcMar>
            <w:vAlign w:val="center"/>
          </w:tcPr>
          <w:p w14:paraId="7BB37883" w14:textId="77777777" w:rsidR="00B073E6" w:rsidRDefault="00B073E6">
            <w:pPr>
              <w:spacing w:after="60"/>
            </w:pPr>
          </w:p>
          <w:p w14:paraId="2F233632" w14:textId="77777777" w:rsidR="00B073E6" w:rsidRDefault="00000000">
            <w:pPr>
              <w:spacing w:after="6"/>
            </w:pPr>
            <w:r>
              <w:rPr>
                <w:b/>
                <w:bCs/>
                <w:color w:val="FFFFFF"/>
                <w:sz w:val="22"/>
                <w:szCs w:val="22"/>
                <w:u w:val="single"/>
              </w:rPr>
              <w:t>Prepared by:</w:t>
            </w:r>
          </w:p>
          <w:p w14:paraId="74E2F8B3" w14:textId="77777777" w:rsidR="00B073E6" w:rsidRDefault="00B073E6">
            <w:pPr>
              <w:spacing w:after="16"/>
            </w:pPr>
          </w:p>
          <w:p w14:paraId="426BD161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Siddharth Kohli</w:t>
            </w:r>
          </w:p>
          <w:p w14:paraId="3D4C54E0" w14:textId="77777777" w:rsidR="00B073E6" w:rsidRDefault="00000000">
            <w:pPr>
              <w:spacing w:after="4"/>
            </w:pPr>
            <w:r>
              <w:rPr>
                <w:b/>
                <w:bCs/>
                <w:color w:val="FFFFFF"/>
                <w:sz w:val="22"/>
                <w:szCs w:val="22"/>
              </w:rPr>
              <w:t>10x Global Private Limited</w:t>
            </w:r>
          </w:p>
          <w:p w14:paraId="3460D8A9" w14:textId="77777777" w:rsidR="00B073E6" w:rsidRDefault="00000000">
            <w:r>
              <w:rPr>
                <w:color w:val="FFFFFF"/>
              </w:rPr>
              <w:t>siddharth@10xglobal.in</w:t>
            </w:r>
          </w:p>
        </w:tc>
      </w:tr>
    </w:tbl>
    <w:p w14:paraId="6ACA78F7" w14:textId="77777777" w:rsidR="00B073E6" w:rsidRDefault="00B073E6">
      <w:pPr>
        <w:sectPr w:rsidR="00B073E6" w:rsidSect="00B02474">
          <w:type w:val="continuous"/>
          <w:pgSz w:w="11906" w:h="16838"/>
          <w:pgMar w:top="0" w:right="0" w:bottom="0" w:left="0" w:header="708" w:footer="708" w:gutter="0"/>
          <w:cols w:space="720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42F9988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100" w:type="dxa"/>
              <w:left w:w="160" w:type="dxa"/>
              <w:bottom w:w="100" w:type="dxa"/>
              <w:right w:w="160" w:type="dxa"/>
            </w:tcMar>
            <w:vAlign w:val="center"/>
          </w:tcPr>
          <w:p w14:paraId="748F92A4" w14:textId="77777777" w:rsidR="00B073E6" w:rsidRDefault="00000000">
            <w:r>
              <w:rPr>
                <w:b/>
                <w:bCs/>
                <w:color w:val="FFFFFF"/>
                <w:sz w:val="28"/>
                <w:szCs w:val="28"/>
              </w:rPr>
              <w:lastRenderedPageBreak/>
              <w:t>Table of Contents</w:t>
            </w:r>
          </w:p>
        </w:tc>
      </w:tr>
    </w:tbl>
    <w:p w14:paraId="7C5D9C74" w14:textId="77777777" w:rsidR="00B073E6" w:rsidRDefault="00B073E6">
      <w:pPr>
        <w:spacing w:after="40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0F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EDF4FB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0F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C0252D"/>
                <w:sz w:val="22"/>
                <w:szCs w:val="22"/>
              </w:rPr>
              <w:t xml:space="preserve">Background: </w:t>
            </w:r>
            <w:r>
              <w:rPr>
                <w:rFonts w:ascii="Quicksand" w:eastAsia="Quicksand" w:hAnsi="Quicksand" w:cs="Quicksand"/>
                <w:color w:val="1A1A1A"/>
                <w:sz w:val="22"/>
                <w:szCs w:val="22"/>
              </w:rPr>
              <w:t>MultiTV Tech Solutions Pvt Ltd is a leading company that provides quality services and solutions to its clients.</w:t>
            </w:r>
          </w:p>
        </w:tc>
      </w:tr>
    </w:tbl>
    <w:p w14:paraId="000010FD" w14:textId="77777777" w:rsidR="00B073E6" w:rsidRDefault="00B073E6">
      <w:pPr>
        <w:spacing w:after="36"/>
      </w:pPr>
    </w:p>
    <w:p w14:paraId="000010FE" w14:textId="77777777" w:rsidR="002549F2" w:rsidRDefault="002549F2">
      <w:pPr>
        <w:spacing w:before="140" w:after="120" w:line="260" w:lineRule="auto"/>
        <w:rPr>
          <w:rFonts w:ascii="Quicksand" w:eastAsia="Quicksand" w:hAnsi="Quicksand" w:cs="Quicksand"/>
          <w:b/>
          <w:color w:val="A31134"/>
          <w:sz w:val="22"/>
          <w:szCs w:val="22"/>
        </w:rPr>
      </w:pPr>
      <w:r>
        <w:rPr>
          <w:rFonts w:ascii="Quicksand" w:eastAsia="Quicksand" w:hAnsi="Quicksand" w:cs="Quicksand"/>
          <w:b/>
          <w:color w:val="A31134"/>
          <w:sz w:val="22"/>
          <w:szCs w:val="22"/>
        </w:rPr>
        <w:t>India</w:t>
      </w:r>
    </w:p>
    <w:p w14:paraId="000010FF" w14:textId="77777777" w:rsidR="002549F2" w:rsidRDefault="002549F2">
      <w:pPr>
        <w:spacing w:before="40" w:after="40" w:line="220" w:lineRule="auto"/>
      </w:pPr>
      <w:r>
        <w:rPr>
          <w:rFonts w:ascii="Quicksand" w:eastAsia="Quicksand" w:hAnsi="Quicksand" w:cs="Quicksand"/>
          <w:sz w:val="22"/>
          <w:szCs w:val="22"/>
        </w:rPr>
        <w:t xml:space="preserve"> </w:t>
      </w:r>
    </w:p>
    <w:p w14:paraId="00001100" w14:textId="77777777" w:rsidR="00B073E6" w:rsidRDefault="00B073E6">
      <w:pPr>
        <w:spacing w:before="80" w:after="60"/>
      </w:pPr>
      <w:r>
        <w:rPr>
          <w:rFonts w:ascii="Quicksand" w:eastAsia="Quicksand" w:hAnsi="Quicksand" w:cs="Quicksand"/>
          <w:b/>
          <w:bCs/>
          <w:color w:val="1B3A5C"/>
          <w:sz w:val="20"/>
          <w:szCs w:val="20"/>
        </w:rPr>
        <w:t>IN-SCOPE PROCESSES / SERVICES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57"/>
        <w:gridCol w:w="2972"/>
      </w:tblGrid>
      <w:tr w:rsidR="00B073E6" w14:paraId="0000110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Section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3" w14:textId="77777777" w:rsidR="00B073E6" w:rsidRDefault="00B073E6">
            <w:pPr>
              <w:spacing w:after="28" w:line="244" w:lineRule="auto"/>
              <w:jc w:val="right"/>
            </w:pPr>
          </w:p>
        </w:tc>
      </w:tr>
      <w:tr w:rsidR="00B073E6" w14:paraId="00001104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Accounting &amp; MIS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6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107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Income Tax Compliances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9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  <w:tr w:rsidR="00B073E6" w14:paraId="0000110A" w14:textId="77777777">
        <w:tblPrEx>
          <w:tblCellMar>
            <w:top w:w="0" w:type="dxa"/>
            <w:bottom w:w="0" w:type="dxa"/>
          </w:tblCellMar>
        </w:tblPrEx>
        <w:tc>
          <w:tcPr>
            <w:tcW w:w="8457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C.</w:t>
            </w: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 Payroll Processing</w:t>
            </w:r>
          </w:p>
        </w:tc>
        <w:tc>
          <w:tcPr>
            <w:tcW w:w="297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0C" w14:textId="77777777" w:rsidR="00B073E6" w:rsidRDefault="00000000">
            <w:pPr>
              <w:spacing w:after="28" w:line="244" w:lineRule="auto"/>
              <w:jc w:val="right"/>
            </w:pPr>
            <w:r>
              <w:rPr>
                <w:rFonts w:ascii="Quicksand" w:eastAsia="Quicksand" w:hAnsi="Quicksand" w:cs="Quicksand"/>
                <w:color w:val="1B3A5C"/>
                <w:sz w:val="18"/>
                <w:szCs w:val="18"/>
              </w:rPr>
              <w:t>→</w:t>
            </w:r>
          </w:p>
        </w:tc>
      </w:tr>
    </w:tbl>
    <w:p w14:paraId="0000110D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0E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0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A.  Accounting &amp; MIS</w:t>
            </w:r>
          </w:p>
        </w:tc>
      </w:tr>
      <w:tr w:rsidR="00B073E6" w14:paraId="0000111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5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16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  <w:p w14:paraId="0000111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9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Day-to-day accounting of transactions with proper description and supporting documentation.</w:t>
            </w:r>
          </w:p>
          <w:p w14:paraId="0000111A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Bank, cash and inventory reconciliations; records of all tax challans and statutory payments.</w:t>
            </w:r>
          </w:p>
          <w:p w14:paraId="0000111B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TDS, GST, PF and ESI compliance with necessary adjustment entries.</w:t>
            </w:r>
          </w:p>
          <w:p w14:paraId="0000111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Access payment gateway and ad-platform portals to retrieve and record sales data.</w:t>
            </w:r>
          </w:p>
          <w:p w14:paraId="0000111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Included: Annual financial statements; statutory audit; tax filing; investment or software advisory.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1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Financial documents, invoices, bank statements and portal access by 5th of every month.</w:t>
            </w:r>
          </w:p>
          <w:p w14:paraId="0000111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inventory records from HQ; timely communication of business/policy changes.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≤1,000 entries; ≤300 vendor/≤200 customer invoices; ≤8 bank accounts; ≤100 SKUs/month; ≤25 KPIs in MIS; turnover up to ₹100 cr.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1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₹30,000/month</w:t>
            </w:r>
          </w:p>
        </w:tc>
      </w:tr>
    </w:tbl>
    <w:p w14:paraId="00001122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23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2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B.  Income Tax Compliances</w:t>
            </w:r>
          </w:p>
        </w:tc>
      </w:tr>
      <w:tr w:rsidR="00B073E6" w14:paraId="0000112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A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2B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C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  <w:p w14:paraId="0000112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– TDS/TCS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2E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TDS/TCS computation, challan deposit (Form 281) and applicability review — salaries, rent, professional fees, contractor payments.</w:t>
            </w:r>
          </w:p>
          <w:p w14:paraId="0000112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Records; preparation and filing of TDS returns (Form 24Q/26Q); issue Form 16/16A as applicable.</w:t>
            </w:r>
          </w:p>
          <w:p w14:paraId="0000113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Not included: IT assessment/litigation; PAN application/correction; advance tax; transfer pricing; DTAA/international taxation.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1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Payment details subject to TDS/TCS; PAN of vendors/employees; IT portal and DSC access.</w:t>
            </w:r>
          </w:p>
          <w:p w14:paraId="0000113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Investment proofs; P&amp;L data; quarterly income estimates.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≤100 TDS payments/month; ≤50 employees; ≤4 TDS/TCS categories quarterly; ≤200 TDS certificates/year; ≤20 Form 15CA/CB/year.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4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₹8,000/month</w:t>
            </w:r>
          </w:p>
        </w:tc>
      </w:tr>
    </w:tbl>
    <w:p w14:paraId="00001135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68"/>
        <w:gridCol w:w="3738"/>
        <w:gridCol w:w="2102"/>
        <w:gridCol w:w="2241"/>
        <w:gridCol w:w="2180"/>
      </w:tblGrid>
      <w:tr w:rsidR="00B073E6" w14:paraId="0000113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3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 xml:space="preserve">C.  Payroll Processing</w:t>
            </w:r>
          </w:p>
        </w:tc>
      </w:tr>
      <w:tr w:rsidR="00B073E6" w14:paraId="0000113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Service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Scope of Work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Client Responsibilities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Volume / Limits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D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3E" w14:textId="77777777">
        <w:tblPrEx>
          <w:tblCellMar>
            <w:top w:w="0" w:type="dxa"/>
            <w:bottom w:w="0" w:type="dxa"/>
          </w:tblCellMar>
        </w:tblPrEx>
        <w:tc>
          <w:tcPr>
            <w:tcW w:w="116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3F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C1</w:t>
            </w:r>
          </w:p>
          <w:p w14:paraId="0000114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Processing</w:t>
            </w:r>
          </w:p>
        </w:tc>
        <w:tc>
          <w:tcPr>
            <w:tcW w:w="3738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≤100 employees; ≤10 new joiners; ≤5 F&amp;F settlements/month.</w:t>
            </w:r>
          </w:p>
        </w:tc>
        <w:tc>
          <w:tcPr>
            <w:tcW w:w="21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2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New joiner on-boarding: bank details, UAN, salary structure, investment declaration, leave policy update.</w:t>
            </w:r>
          </w:p>
          <w:p w14:paraId="00001143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payroll: salary sheet, payslips, reimbursement slips, payroll master sheet.</w:t>
            </w:r>
          </w:p>
          <w:p w14:paraId="00001144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PF &amp; ESI: challan deposit, return filing, UAN updates and fresh registrations.</w:t>
            </w:r>
          </w:p>
          <w:p w14:paraId="00001145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Full &amp; Final Settlement: dues recovery, tax verification, profile closure.</w:t>
            </w:r>
          </w:p>
          <w:p w14:paraId="0000114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Attendance/leave data by 25th of each month; new joiner documents within 3 days of joining.</w:t>
            </w:r>
          </w:p>
          <w:p w14:paraId="00001147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Coordinate with employees for investment declarations and proofs.</w:t>
            </w:r>
          </w:p>
        </w:tc>
        <w:tc>
          <w:tcPr>
            <w:tcW w:w="2241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≤100 employees; ≤10 new joiners; ≤5 F&amp;F settlements/month.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9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₹35,000/month</w:t>
            </w:r>
          </w:p>
        </w:tc>
      </w:tr>
    </w:tbl>
    <w:p w14:paraId="0000114A" w14:textId="77777777" w:rsidR="00B073E6" w:rsidRDefault="00B073E6">
      <w:pPr>
        <w:spacing w:after="36"/>
      </w:pPr>
    </w:p>
    <w:p w14:paraId="0000114B" w14:textId="77777777" w:rsidR="00B073E6" w:rsidRDefault="00000000">
      <w:pPr>
        <w:spacing w:after="60"/>
      </w:pPr>
      <w:r>
        <w:rPr>
          <w:rFonts w:ascii="Quicksand" w:eastAsia="Quicksand" w:hAnsi="Quicksand" w:cs="Quicksand"/>
          <w:b/>
          <w:bCs/>
          <w:color w:val="1B3A5C"/>
          <w:sz w:val="28"/>
          <w:szCs w:val="28"/>
        </w:rPr>
        <w:t>Summary of Fees</w:t>
      </w: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5"/>
        <w:gridCol w:w="545"/>
        <w:gridCol w:w="3504"/>
        <w:gridCol w:w="1402"/>
        <w:gridCol w:w="2180"/>
      </w:tblGrid>
      <w:tr w:rsidR="00B073E6" w14:paraId="0000114C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D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Sec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Sub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4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Description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Frequency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D6E4F0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1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Fee</w:t>
            </w:r>
          </w:p>
        </w:tc>
      </w:tr>
      <w:tr w:rsidR="00B073E6" w14:paraId="00001152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3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A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A1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6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7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₹30,000/month</w:t>
            </w:r>
          </w:p>
        </w:tc>
      </w:tr>
      <w:tr w:rsidR="00B073E6" w14:paraId="00001158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B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B1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– TDS/TCS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D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₹8,000/month</w:t>
            </w:r>
          </w:p>
        </w:tc>
      </w:tr>
      <w:tr w:rsidR="00B073E6" w14:paraId="0000115E" w14:textId="77777777">
        <w:tblPrEx>
          <w:tblCellMar>
            <w:top w:w="0" w:type="dxa"/>
            <w:bottom w:w="0" w:type="dxa"/>
          </w:tblCellMar>
        </w:tblPrEx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5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C</w:t>
            </w:r>
          </w:p>
        </w:tc>
        <w:tc>
          <w:tcPr>
            <w:tcW w:w="54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1B6B6B"/>
                <w:sz w:val="18"/>
                <w:szCs w:val="18"/>
              </w:rPr>
              <w:t>C1</w:t>
            </w:r>
          </w:p>
        </w:tc>
        <w:tc>
          <w:tcPr>
            <w:tcW w:w="3504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 Processing</w:t>
            </w:r>
          </w:p>
        </w:tc>
        <w:tc>
          <w:tcPr>
            <w:tcW w:w="1402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Monthly</w:t>
            </w:r>
          </w:p>
        </w:tc>
        <w:tc>
          <w:tcPr>
            <w:tcW w:w="21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3" w14:textId="77777777" w:rsidR="00B073E6" w:rsidRDefault="00000000">
            <w:pPr>
              <w:spacing w:after="4" w:line="244" w:lineRule="auto"/>
              <w:jc w:val="right"/>
            </w:pPr>
            <w:r>
              <w:rPr>
                <w:rFonts w:ascii="Quicksand" w:eastAsia="Quicksand" w:hAnsi="Quicksand" w:cs="Quicksand"/>
                <w:b/>
                <w:bCs/>
                <w:color w:val="1B3A5C"/>
                <w:sz w:val="18"/>
                <w:szCs w:val="18"/>
              </w:rPr>
              <w:t>₹35,000/month</w:t>
            </w:r>
          </w:p>
        </w:tc>
      </w:tr>
    </w:tbl>
    <w:p w14:paraId="00001164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15"/>
        <w:gridCol w:w="5715"/>
      </w:tblGrid>
      <w:tr w:rsidR="00B073E6" w14:paraId="0000116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66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Team Deployment &amp; Notes</w:t>
            </w:r>
          </w:p>
        </w:tc>
      </w:tr>
      <w:tr w:rsidR="00B073E6" w14:paraId="00001167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8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Article: CA pursuing candidate who has cleared Intermediate Level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Analyst: CA (Semi- Qualified) or Accountant with minimum 1 year experience, along with 3 years of articleship exposure</w:t>
            </w:r>
          </w:p>
        </w:tc>
      </w:tr>
      <w:tr w:rsidR="00B073E6" w14:paraId="0000116A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Analyst: CA (Semi- Qualified) or Accountant with minimum 2 year experience, along with 3 years of articleship exposure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[semi qualified or with minimum 2 years of accounting and finance experience for day-to-day accounting entries and co-ordination]- Qualified CA fresher (with 3 years articleship) or minimum 4 years experience as finance professional</w:t>
            </w:r>
          </w:p>
        </w:tc>
      </w:tr>
      <w:tr w:rsidR="00B073E6" w14:paraId="0000116D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Associate / AM: Qualified CA with 3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6F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Assistant Manager: Qualified CA with 4 years of relevant post qualification experience in accounting / tax / secretarial compliance</w:t>
            </w:r>
          </w:p>
        </w:tc>
      </w:tr>
      <w:tr w:rsidR="00B073E6" w14:paraId="00001170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1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Manager: Qualified CA with 5 years of relevant post qualification experience in accounting / tax / secretarial compliance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Senior Manager: Qualified CA with 6 years of relevant post qualification experience in accounting / tax / secretarial compliance</w:t>
            </w:r>
          </w:p>
        </w:tc>
      </w:tr>
      <w:tr w:rsidR="00B073E6" w14:paraId="00001173" w14:textId="77777777">
        <w:tblPrEx>
          <w:tblCellMar>
            <w:top w:w="0" w:type="dxa"/>
            <w:bottom w:w="0" w:type="dxa"/>
          </w:tblCellMar>
        </w:tblPrEx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Associate Director / Partner [escalation, queries, review meetings, relationship manager</w:t>
            </w:r>
          </w:p>
        </w:tc>
        <w:tc>
          <w:tcPr>
            <w:tcW w:w="5715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5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 xml:space="preserve"> </w:t>
            </w:r>
          </w:p>
        </w:tc>
      </w:tr>
    </w:tbl>
    <w:p w14:paraId="00001176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7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78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General Scope Exclusions</w:t>
            </w:r>
          </w:p>
        </w:tc>
      </w:tr>
      <w:tr w:rsidR="00B073E6" w14:paraId="00001179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A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 certification unless otherwise included in the scope</w:t>
            </w:r>
          </w:p>
        </w:tc>
      </w:tr>
      <w:tr w:rsidR="00B073E6" w14:paraId="0000117B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C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Drafting / review of legal agreements or customer contracts</w:t>
            </w:r>
          </w:p>
        </w:tc>
      </w:tr>
      <w:tr w:rsidR="00B073E6" w14:paraId="0000117D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7E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Assistance in due diligence in case of funding round</w:t>
            </w:r>
          </w:p>
        </w:tc>
      </w:tr>
      <w:tr w:rsidR="00B073E6" w14:paraId="0000117F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0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Accounting or any other assistance in case of M&amp;A</w:t>
            </w:r>
          </w:p>
        </w:tc>
      </w:tr>
      <w:tr w:rsidR="00B073E6" w14:paraId="00001181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2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Representation before the tax or other authorities unless otherwise agreed in the scope</w:t>
            </w:r>
          </w:p>
        </w:tc>
      </w:tr>
      <w:tr w:rsidR="00B073E6" w14:paraId="00001183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4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Anything specifically not mentioned in the scope shall be deemed excluded</w:t>
            </w:r>
          </w:p>
        </w:tc>
      </w:tr>
    </w:tbl>
    <w:p w14:paraId="00001185" w14:textId="77777777" w:rsidR="00B073E6" w:rsidRDefault="00B073E6">
      <w:pPr>
        <w:spacing w:after="36"/>
      </w:pPr>
    </w:p>
    <w:tbl>
      <w:tblPr>
        <w:tblW w:w="5000" w:type="pct"/>
        <w:tblLayout w:type="fixed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429"/>
      </w:tblGrid>
      <w:tr w:rsidR="00B073E6" w14:paraId="0000118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6" w:space="0" w:color="1B3A5C"/>
              <w:left w:val="single" w:sz="6" w:space="0" w:color="1B3A5C"/>
              <w:bottom w:val="single" w:sz="6" w:space="0" w:color="1B3A5C"/>
              <w:right w:val="single" w:sz="6" w:space="0" w:color="1B3A5C"/>
            </w:tcBorders>
            <w:shd w:val="clear" w:color="auto" w:fill="1B3A5C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0001187" w14:textId="77777777" w:rsidR="00B073E6" w:rsidRDefault="00000000">
            <w:pPr>
              <w:spacing w:after="28" w:line="244" w:lineRule="auto"/>
            </w:pPr>
            <w:r>
              <w:rPr>
                <w:rFonts w:ascii="Quicksand" w:eastAsia="Quicksand" w:hAnsi="Quicksand" w:cs="Quicksand"/>
                <w:b/>
                <w:bCs/>
                <w:color w:val="FFFFFF"/>
                <w:sz w:val="22"/>
                <w:szCs w:val="22"/>
              </w:rPr>
              <w:t>Commercials</w:t>
            </w:r>
          </w:p>
        </w:tc>
      </w:tr>
      <w:tr w:rsidR="00B073E6" w14:paraId="00001188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2F5F8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9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All fees are exclusive of GST as applicable.</w:t>
            </w:r>
          </w:p>
        </w:tc>
      </w:tr>
      <w:tr w:rsidR="00B073E6" w14:paraId="0000118A" w14:textId="77777777">
        <w:tblPrEx>
          <w:tblCellMar>
            <w:top w:w="0" w:type="dxa"/>
            <w:bottom w:w="0" w:type="dxa"/>
          </w:tblCellMar>
        </w:tblPrEx>
        <w:tc>
          <w:tcPr>
            <w:tcW w:w="11429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top"/>
          </w:tcPr>
          <w:p w14:paraId="0000118B" w14:textId="77777777" w:rsidR="00B073E6" w:rsidRDefault="00000000">
            <w:pPr>
              <w:spacing w:after="4" w:line="244" w:lineRule="auto"/>
            </w:pPr>
            <w:r>
              <w:rPr>
                <w:rFonts w:ascii="Quicksand" w:eastAsia="Quicksand" w:hAnsi="Quicksand" w:cs="Quicksand"/>
                <w:color w:val="1A1A1A"/>
                <w:sz w:val="18"/>
                <w:szCs w:val="18"/>
              </w:rPr>
              <w:t>Government fee and out of pocket expenses shall be reimbursed on actual basis</w:t>
            </w:r>
          </w:p>
        </w:tc>
      </w:tr>
    </w:tbl>
    <w:sectPr w:rsidR="00E0785E" w:rsidSect="00B02474">
      <w:headerReference w:type="default" r:id="rId10"/>
      <w:type w:val="continuous"/>
      <w:pgSz w:w="16838" w:h="11906"/>
      <w:pgMar w:top="1080" w:right="0" w:bottom="1080" w:left="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2B901" w14:textId="77777777" w:rsidR="00E0785E" w:rsidRDefault="00E0785E">
      <w:r>
        <w:separator/>
      </w:r>
    </w:p>
  </w:endnote>
  <w:endnote w:type="continuationSeparator" w:id="0">
    <w:p w14:paraId="1303CAF1" w14:textId="77777777" w:rsidR="00E0785E" w:rsidRDefault="00E07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Quicksand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icksand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Quicksand">
    <w:panose1 w:val="020B0604030504040204"/>
    <w:charset w:val="00"/>
    <w:family w:val="swiss"/>
    <w:pitch w:val="variable"/>
    <w:sig w:usb0="A00002EF" w:usb1="4000207B" w:usb2="00000000" w:usb3="00000000" w:csb0="0000009F" w:csb1="00000000"/>
    <w:embedRegular r:id="rId1"/>
    <w:embedBold r:id="rId1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5A89B" w14:textId="77777777" w:rsidR="00E0785E" w:rsidRDefault="00E0785E">
      <w:r>
        <w:separator/>
      </w:r>
    </w:p>
  </w:footnote>
  <w:footnote w:type="continuationSeparator" w:id="0">
    <w:p w14:paraId="520180B1" w14:textId="77777777" w:rsidR="00E0785E" w:rsidRDefault="00E07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118DF" w14:textId="77777777" w:rsidR="00B073E6" w:rsidRDefault="00000000">
    <w:pPr>
      <w:pBdr>
        <w:bottom w:val="single" w:sz="4" w:space="4" w:color="DDDDDD"/>
      </w:pBdr>
    </w:pPr>
    <w:r>
      <w:rPr>
        <w:noProof/>
      </w:rPr>
      <w:drawing>
        <wp:inline distT="0" distB="0" distL="0" distR="0" wp14:anchorId="2CA9D633" wp14:editId="0A8B3720">
          <wp:extent cx="762000" cy="152400"/>
          <wp:effectExtent l="0" t="0" r="0" b="0"/>
          <wp:docPr id="1859280264" name="Picture 1859280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E2651"/>
    <w:multiLevelType w:val="hybridMultilevel"/>
    <w:tmpl w:val="CE506B32"/>
    <w:lvl w:ilvl="0" w:tplc="C5EED5F8">
      <w:start w:val="1"/>
      <w:numFmt w:val="bullet"/>
      <w:lvlText w:val="●"/>
      <w:lvlJc w:val="left"/>
      <w:pPr>
        <w:ind w:left="720" w:hanging="360"/>
      </w:pPr>
    </w:lvl>
    <w:lvl w:ilvl="1" w:tplc="0FCA2656">
      <w:start w:val="1"/>
      <w:numFmt w:val="bullet"/>
      <w:lvlText w:val="○"/>
      <w:lvlJc w:val="left"/>
      <w:pPr>
        <w:ind w:left="1440" w:hanging="360"/>
      </w:pPr>
    </w:lvl>
    <w:lvl w:ilvl="2" w:tplc="01B86960">
      <w:start w:val="1"/>
      <w:numFmt w:val="bullet"/>
      <w:lvlText w:val="■"/>
      <w:lvlJc w:val="left"/>
      <w:pPr>
        <w:ind w:left="2160" w:hanging="360"/>
      </w:pPr>
    </w:lvl>
    <w:lvl w:ilvl="3" w:tplc="F8567CDC">
      <w:start w:val="1"/>
      <w:numFmt w:val="bullet"/>
      <w:lvlText w:val="●"/>
      <w:lvlJc w:val="left"/>
      <w:pPr>
        <w:ind w:left="2880" w:hanging="360"/>
      </w:pPr>
    </w:lvl>
    <w:lvl w:ilvl="4" w:tplc="922AD5F0">
      <w:start w:val="1"/>
      <w:numFmt w:val="bullet"/>
      <w:lvlText w:val="○"/>
      <w:lvlJc w:val="left"/>
      <w:pPr>
        <w:ind w:left="3600" w:hanging="360"/>
      </w:pPr>
    </w:lvl>
    <w:lvl w:ilvl="5" w:tplc="1500F26A">
      <w:start w:val="1"/>
      <w:numFmt w:val="bullet"/>
      <w:lvlText w:val="■"/>
      <w:lvlJc w:val="left"/>
      <w:pPr>
        <w:ind w:left="4320" w:hanging="360"/>
      </w:pPr>
    </w:lvl>
    <w:lvl w:ilvl="6" w:tplc="953EED28">
      <w:start w:val="1"/>
      <w:numFmt w:val="bullet"/>
      <w:lvlText w:val="●"/>
      <w:lvlJc w:val="left"/>
      <w:pPr>
        <w:ind w:left="5040" w:hanging="360"/>
      </w:pPr>
    </w:lvl>
    <w:lvl w:ilvl="7" w:tplc="A0AECEB8">
      <w:start w:val="1"/>
      <w:numFmt w:val="bullet"/>
      <w:lvlText w:val="●"/>
      <w:lvlJc w:val="left"/>
      <w:pPr>
        <w:ind w:left="5760" w:hanging="360"/>
      </w:pPr>
    </w:lvl>
    <w:lvl w:ilvl="8" w:tplc="F566DFF4">
      <w:start w:val="1"/>
      <w:numFmt w:val="bullet"/>
      <w:lvlText w:val="●"/>
      <w:lvlJc w:val="left"/>
      <w:pPr>
        <w:ind w:left="6480" w:hanging="360"/>
      </w:pPr>
    </w:lvl>
  </w:abstractNum>
  <w:num w:numId="1" w16cid:durableId="511606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3E6"/>
    <w:rsid w:val="007A2BDD"/>
    <w:rsid w:val="00B02474"/>
    <w:rsid w:val="00B073E6"/>
    <w:rsid w:val="00E07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96456"/>
  <w15:docId w15:val="{EFDC9A49-FB01-4F51-A730-AF11BE8C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Quicksand" w:eastAsia="Quicksand" w:hAnsi="Quicksand" w:cs="Quicksand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quicksand.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3D0D6-4267-464E-865C-9CECC67A2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3998</Words>
  <Characters>22794</Characters>
  <Application>Microsoft Office Word</Application>
  <DocSecurity>0</DocSecurity>
  <Lines>189</Lines>
  <Paragraphs>53</Paragraphs>
  <ScaleCrop>false</ScaleCrop>
  <Company/>
  <LinksUpToDate>false</LinksUpToDate>
  <CharactersWithSpaces>26739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Ashish</cp:lastModifiedBy>
  <cp:revision>3</cp:revision>
  <dcterms:created xsi:type="dcterms:W3CDTF">2026-05-12T06:01:00Z</dcterms:created>
  <dcterms:modified xsi:type="dcterms:W3CDTF">2026-05-12T06:18:00Z</dcterms:modified>
</cp:coreProperties>
</file>