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Abdul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CEO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10x DMCC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niraj@10x.global</w:t>
            </w:r>
          </w:p>
          <w:p w14:paraId="7E95C78E" w14:textId="77777777" w:rsidR="00B073E6" w:rsidRDefault="00000000">
            <w:r>
              <w:rPr>
                <w:color w:val="1A1A1A"/>
              </w:rPr>
              <w:t>981143134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01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10x DMCC is a leading company that provides quality services and solutions to its clients.</w:t>
            </w:r>
          </w:p>
        </w:tc>
      </w:tr>
    </w:tbl>
    <w:p w14:paraId="00001003" w14:textId="77777777" w:rsidR="00B073E6" w:rsidRDefault="00B073E6">
      <w:pPr>
        <w:spacing w:after="36"/>
      </w:pPr>
    </w:p>
    <w:p w14:paraId="00001004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UAE</w:t>
      </w:r>
    </w:p>
    <w:p w14:paraId="00001005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006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0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9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00A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UAE Accounting &amp; Compliance Services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0C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00D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00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0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UAE Accounting &amp; Compliance Services</w:t>
            </w:r>
          </w:p>
        </w:tc>
      </w:tr>
      <w:tr w:rsidR="00B073E6" w14:paraId="000010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5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16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01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Tax Residency Certificate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Eligibility assessment; TRC application to UAE Ministry of Finance.</w:t>
            </w:r>
          </w:p>
          <w:p w14:paraId="0000101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Document compilation for double-tax treaty benefits.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1D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AED 3000 one-time</w:t>
            </w:r>
          </w:p>
        </w:tc>
      </w:tr>
    </w:tbl>
    <w:p w14:paraId="0000101E" w14:textId="77777777" w:rsidR="00B073E6" w:rsidRDefault="00B073E6">
      <w:pPr>
        <w:spacing w:after="36"/>
      </w:pPr>
    </w:p>
    <w:p w14:paraId="0000101F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02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5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26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Tax Residency Certificate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2B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AED 3000 one-time</w:t>
            </w:r>
          </w:p>
        </w:tc>
      </w:tr>
    </w:tbl>
    <w:p w14:paraId="0000102C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02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2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02F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032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035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038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03B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3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03E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3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4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041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043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045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047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04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04B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4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04D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4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4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050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052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5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