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47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472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473" w14:textId="77777777" w:rsidR="00B073E6" w:rsidRDefault="00B073E6"><w:pPr><w:spacing w:after="36"/></w:pPr></w:p><w:p w14:paraId="00001474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475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476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47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78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79" w14:textId="77777777" w:rsidR="00B073E6" w:rsidRDefault="00B073E6"><w:pPr><w:spacing w:after="28" w:line="244" w:lineRule="auto"/><w:jc w:val="right"/></w:pPr></w:p></w:tc></w:tr><w:tr w:rsidR="00B073E6" w14:paraId="0000147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B" w14:textId="77777777" w:rsidR="00B073E6" w:rsidRDefault="00000000"><w:pPr><w:spacing w:after="28" w:line="244" w:lineRule="auto"/></w:pPr><w:r><w:rPr><w:b/><w:bCs/><w:color w:val="1B6B6B"/><w:sz w:val="18"/><w:szCs w:val="18"/></w:rPr><w:t>B.</w:t></w:r><w:r><w:rPr><w:color w:val="1A1A1A"/><w:sz w:val="18"/><w:szCs w:val="18"/></w:rPr><w:t xml:space="preserve">  Accounts Payable Process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7C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47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E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7F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480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1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2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48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48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85" w14:textId="77777777" w:rsidR="00B073E6" w:rsidRDefault="00000000"><w:pPr><w:spacing w:after="28" w:line="244" w:lineRule="auto"/></w:pPr><w:r><w:rPr><w:b/><w:bCs/><w:color w:val="FFFFFF"/><w:sz w:val="22"/><w:szCs w:val="22"/></w:rPr><w:t xml:space="preserve">B.  Accounts Payable Process</w:t></w:r></w:p></w:tc></w:tr><w:tr w:rsidR="00B073E6" w14:paraId="0000148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87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88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89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8A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8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48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D" w14:textId="77777777" w:rsidR="00B073E6" w:rsidRDefault="00000000"><w:pPr><w:spacing w:after="28" w:line="244" w:lineRule="auto"/></w:pPr><w:r><w:rPr><w:b/><w:bCs/><w:color w:val="1B6B6B"/><w:sz w:val="18"/><w:szCs w:val="18"/></w:rPr><w:t>B2</w:t></w:r></w:p><w:p w14:paraId="0000148E" w14:textId="77777777" w:rsidR="00B073E6" w:rsidRDefault="00000000"><w:pPr><w:spacing w:after="4" w:line="244" w:lineRule="auto"/></w:pPr><w:r><w:rPr><w:color w:val="1A1A1A"/><w:sz w:val="18"/><w:szCs w:val="18"/></w:rPr><w:t>Payment Processing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8F" w14:textId="77777777" w:rsidR="00B073E6" w:rsidRDefault="00000000"><w:pPr><w:spacing w:after="4" w:line="244" w:lineRule="auto"/></w:pPr><w:r><w:rPr><w:color w:val="1A1A1A"/><w:sz w:val="18"/><w:szCs w:val="18"/></w:rPr><w:t>Process payments via approved channels; optimise payment scheduling; coordinate with bankers; collect vendor compliance docs (GST RC, PAN, PE certificate, TRC).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0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1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2" w14:textId="77777777" w:rsidR="00B073E6" w:rsidRDefault="00000000"><w:pPr><w:spacing w:after="4" w:line="244" w:lineRule="auto"/><w:jc w:val="right"/></w:pPr><w:r><w:rPr><w:b/><w:bCs/><w:color w:val="1B3A5C"/><w:sz w:val="18"/><w:szCs w:val="18"/></w:rPr><w:t>₹12,000/month</w:t></w:r></w:p></w:tc></w:tr></w:tbl><w:p w14:paraId="0000149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49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95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49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97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98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99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9A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9B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49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D" w14:textId="77777777" w:rsidR="00B073E6" w:rsidRDefault="00000000"><w:pPr><w:spacing w:after="28" w:line="244" w:lineRule="auto"/></w:pPr><w:r><w:rPr><w:b/><w:bCs/><w:color w:val="1B6B6B"/><w:sz w:val="18"/><w:szCs w:val="18"/></w:rPr><w:t>C1</w:t></w:r></w:p><w:p w14:paraId="0000149E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9F" w14:textId="77777777" w:rsidR="00B073E6" w:rsidRDefault="00000000"><w:pPr><w:spacing w:after="28" w:line="244" w:lineRule="auto"/></w:pPr><w:r><w:rPr><w:color w:val="1A1A1A"/><w:sz w:val="18"/><w:szCs w:val="18"/></w:rPr><w:t>TDS/TCS computation, challan deposit (Form 281) and applicability review — salaries, rent, professional fees, contractor payments.</w:t></w:r></w:p><w:p w14:paraId="000014A0" w14:textId="77777777" w:rsidR="00B073E6" w:rsidRDefault="00000000"><w:pPr><w:spacing w:after="28" w:line="244" w:lineRule="auto"/></w:pPr><w:r><w:rPr><w:color w:val="1A1A1A"/><w:sz w:val="18"/><w:szCs w:val="18"/></w:rPr><w:t>Records; preparation and filing of TDS returns (Form 24Q/26Q); issue Form 16/16A as applicable.</w:t></w:r></w:p><w:p w14:paraId="000014A1" w14:textId="77777777" w:rsidR="00B073E6" w:rsidRDefault="00000000"><w:pPr><w:spacing w:after="4" w:line="244" w:lineRule="auto"/></w:pPr><w:r><w:rPr><w:color w:val="1A1A1A"/><w:sz w:val="18"/><w:szCs w:val="18"/></w:rPr><w:t>Not included: IT assessment/litigation; PAN application/correction; advance tax; transfer pricing; DTAA/international taxation.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A2" w14:textId="77777777" w:rsidR="00B073E6" w:rsidRDefault="00000000"><w:pPr><w:spacing w:after="28" w:line="244" w:lineRule="auto"/></w:pPr><w:r><w:rPr><w:color w:val="1A1A1A"/><w:sz w:val="18"/><w:szCs w:val="18"/></w:rPr><w:t>Payment details subject to TDS/TCS; PAN of vendors/employees; IT portal and DSC access.</w:t></w:r></w:p><w:p w14:paraId="000014A3" w14:textId="77777777" w:rsidR="00B073E6" w:rsidRDefault="00000000"><w:pPr><w:spacing w:after="4" w:line="244" w:lineRule="auto"/></w:pPr><w:r><w:rPr><w:color w:val="1A1A1A"/><w:sz w:val="18"/><w:szCs w:val="18"/></w:rPr><w:t>Investment proofs; P&amp;L data; quarterly income estimates.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A4" w14:textId="77777777" w:rsidR="00B073E6" w:rsidRDefault="00000000"><w:pPr><w:spacing w:after="4" w:line="244" w:lineRule="auto"/></w:pPr><w:r><w:rPr><w:color w:val="1A1A1A"/><w:sz w:val="18"/><w:szCs w:val="18"/></w:rPr><w:t>≤100 TDS payments/month; ≤50 employees; ≤4 TDS/TCS categories quarterly; ≤200 TDS certificates/year; ≤20 Form 15CA/CB/year.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A5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/w:tbl><w:p w14:paraId="000014A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4A7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A8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4A9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AA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AB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AC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AD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AE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4AF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B0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4B1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B2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4B3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4B4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4B5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4B6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4B7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B8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4B9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BA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BB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4BC" w14:textId="77777777" w:rsidR="00B073E6" w:rsidRDefault="00B073E6"><w:pPr><w:spacing w:after="36"/></w:pPr></w:p><w:p w14:paraId="000014BD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4BE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BF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C0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C1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C2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4C3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4C4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C5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C6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C7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C8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C9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4CA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CB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CC" w14:textId="77777777" w:rsidR="00B073E6" w:rsidRDefault="00000000"><w:pPr><w:spacing w:after="4" w:line="244" w:lineRule="auto"/></w:pPr><w:r><w:rPr><w:b/><w:bCs/><w:color w:val="1B6B6B"/><w:sz w:val="18"/><w:szCs w:val="18"/></w:rPr><w:t>C1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CD" w14:textId="77777777" w:rsidR="00B073E6" w:rsidRDefault="00000000"><w:pPr><w:spacing w:after="4" w:line="244" w:lineRule="auto"/></w:pPr><w:r><w:rPr><w:color w:val="1A1A1A"/><w:sz w:val="18"/><w:szCs w:val="18"/></w:rPr><w:t>Monthly – TDS/TCS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CE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CF" w14:textId="77777777" w:rsidR="00B073E6" w:rsidRDefault="00000000"><w:pPr><w:spacing w:after="4" w:line="244" w:lineRule="auto"/><w:jc w:val="right"/></w:pPr><w:r><w:rPr><w:b/><w:bCs/><w:color w:val="1B3A5C"/><w:sz w:val="18"/><w:szCs w:val="18"/></w:rPr><w:t>₹8,000/month</w:t></w:r></w:p></w:tc></w:tr><w:tr w:rsidR="00B073E6" w14:paraId="000014D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1" w14:textId="77777777" w:rsidR="00B073E6" w:rsidRDefault="00000000"><w:pPr><w:spacing w:after="4" w:line="244" w:lineRule="auto"/></w:pPr><w:r><w:rPr><w:b/><w:bCs/><w:color w:val="1B3A5C"/><w:sz w:val="18"/><w:szCs w:val="18"/></w:rPr><w:t>B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2" w14:textId="77777777" w:rsidR="00B073E6" w:rsidRDefault="00000000"><w:pPr><w:spacing w:after="4" w:line="244" w:lineRule="auto"/></w:pPr><w:r><w:rPr><w:b/><w:bCs/><w:color w:val="1B6B6B"/><w:sz w:val="18"/><w:szCs w:val="18"/></w:rPr><w:t>B2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3" w14:textId="77777777" w:rsidR="00B073E6" w:rsidRDefault="00000000"><w:pPr><w:spacing w:after="4" w:line="244" w:lineRule="auto"/></w:pPr><w:r><w:rPr><w:color w:val="1A1A1A"/><w:sz w:val="18"/><w:szCs w:val="18"/></w:rPr><w:t>Payment Processing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4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5" w14:textId="77777777" w:rsidR="00B073E6" w:rsidRDefault="00000000"><w:pPr><w:spacing w:after="4" w:line="244" w:lineRule="auto"/><w:jc w:val="right"/></w:pPr><w:r><w:rPr><w:b/><w:bCs/><w:color w:val="1B3A5C"/><w:sz w:val="18"/><w:szCs w:val="18"/></w:rPr><w:t>₹12,000/month</w:t></w:r></w:p></w:tc></w:tr></w:tbl><w:p w14:paraId="000014D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4D7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D8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4D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A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DB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4D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DD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DE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4D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E0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E1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4E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E3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E4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4E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E6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E7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4E8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4E9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EA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4E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EC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4E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EE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4E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F0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4F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F2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4F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F4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4F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F6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4F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4F8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4F9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4F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4FB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4F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4FD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