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A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2A8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2A9" w14:textId="77777777" w:rsidR="00B073E6" w:rsidRDefault="00B073E6"><w:pPr><w:spacing w:after="36"/></w:pPr></w:p><w:p w14:paraId="000012AA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2AB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2AC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2AD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AE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AF" w14:textId="77777777" w:rsidR="00B073E6" w:rsidRDefault="00B073E6"><w:pPr><w:spacing w:after="28" w:line="244" w:lineRule="auto"/><w:jc w:val="right"/></w:pPr></w:p></w:tc></w:tr><w:tr w:rsidR="00B073E6" w14:paraId="000012B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B1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B2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2B3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B4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B5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2B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2B7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B8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2B9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BA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BB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BC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BD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B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2BF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C0" w14:textId="77777777" w:rsidR="00B073E6" w:rsidRDefault="00000000"><w:pPr><w:spacing w:after="28" w:line="244" w:lineRule="auto"/></w:pPr><w:r><w:rPr><w:b/><w:bCs/><w:color w:val="1B6B6B"/><w:sz w:val="18"/><w:szCs w:val="18"/></w:rPr><w:t>C3</w:t></w:r></w:p><w:p w14:paraId="000012C1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C2" w14:textId="77777777" w:rsidR="00B073E6" w:rsidRDefault="00000000"><w:pPr><w:spacing w:after="28" w:line="244" w:lineRule="auto"/></w:pPr><w:r><w:rPr><w:color w:val="1A1A1A"/><w:sz w:val="18"/><w:szCs w:val="18"/></w:rPr><w:t>Issue Form 16 (employees) and Form 16A (vendors); year-end adjustments incl. salary breakups.</w:t></w:r></w:p><w:p w14:paraId="000012C3" w14:textId="77777777" w:rsidR="00B073E6" w:rsidRDefault="00000000"><w:pPr><w:spacing w:after="4" w:line="244" w:lineRule="auto"/></w:pPr><w:r><w:rPr><w:color w:val="1A1A1A"/><w:sz w:val="18"/><w:szCs w:val="18"/></w:rPr><w:t>File entity ITR with computation of income per Income-tax Act, 1961.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C4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C5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C6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2C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2C8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C9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2CA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CB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CC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CD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CE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CF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2D0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D1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2D2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D3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2D4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2D5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2D6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2D7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2D8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D9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2DA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DB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DC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2DD" w14:textId="77777777" w:rsidR="00B073E6" w:rsidRDefault="00B073E6"><w:pPr><w:spacing w:after="36"/></w:pPr></w:p><w:p w14:paraId="000012DE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2DF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0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1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2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3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E4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2E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6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7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8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9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EA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2EB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C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D" w14:textId="77777777" w:rsidR="00B073E6" w:rsidRDefault="00000000"><w:pPr><w:spacing w:after="4" w:line="244" w:lineRule="auto"/></w:pPr><w:r><w:rPr><w:b/><w:bCs/><w:color w:val="1B6B6B"/><w:sz w:val="18"/><w:szCs w:val="18"/></w:rPr><w:t>C3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E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EF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F0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2F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2F2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F3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2F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5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6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2F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F8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F9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2F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B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FC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2F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FE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FF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30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1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2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30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304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05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30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07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30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9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30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0B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30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0D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30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0F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31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1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31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313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314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31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316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31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318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