
<file path=[Content_Types].xml><?xml version="1.0" encoding="utf-8"?>
<Types xmlns="http://schemas.openxmlformats.org/package/2006/content-types">
  <Default Extension="ttf" ContentType="application/x-font-tt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<w:body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4775"/><w:gridCol w:w="7131"/></w:tblGrid><w:tr w:rsidR="00B073E6" w14:paraId="77BF749C" w14:textId="77777777"><w:tblPrEx><w:tblCellMar><w:top w:w="0" w:type="dxa"/><w:bottom w:w="0" w:type="dxa"/></w:tblCellMar></w:tblPrEx><w:trPr><w:trHeight w:hRule="exact" w:val="56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45E56185" w14:textId="77777777" w:rsidR="00B073E6" w:rsidRDefault="00B073E6"><w:pPr><w:spacing w:after="60"/></w:pP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0BDB1259" w14:textId="77777777" w:rsidR="00B073E6" w:rsidRDefault="00B073E6"><w:pPr><w:spacing w:after="320"/></w:pPr></w:p><w:p w14:paraId="6E5B8A70" w14:textId="77777777" w:rsidR="00B073E6" w:rsidRDefault="00000000"><w:pPr><w:spacing w:after="20"/></w:pPr><w:r><w:rPr><w:noProof/></w:rPr><w:drawing><wp:inline distT="0" distB="0" distL="0" distR="0" wp14:anchorId="10AAB7B4" wp14:editId="005628FF"><wp:extent cx="1524000" cy="295275"/><wp:effectExtent l="0" t="0" r="0" b="0"/><wp:docPr id="1" name="Picture 1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8"/><a:srcRect/><a:stretch><a:fillRect/></a:stretch></pic:blipFill><pic:spPr bwMode="auto"><a:xfrm><a:off x="0" y="0"/><a:ext cx="1524000" cy="295275"/></a:xfrm><a:prstGeom prst="rect"><a:avLst/></a:prstGeom></pic:spPr></pic:pic></a:graphicData></a:graphic></wp:inline></w:drawing></w:r></w:p><w:p w14:paraId="48DAEE09" w14:textId="77777777" w:rsidR="00B073E6" w:rsidRDefault="00B073E6"><w:pPr><w:spacing w:after="120"/></w:pPr></w:p><w:p w14:paraId="11EAB925" w14:textId="77777777" w:rsidR="00B073E6" w:rsidRDefault="00000000"><w:r><w:rPr><w:b/><w:bCs/><w:color w:val="1B3A5C"/><w:sz w:val="52"/><w:szCs w:val="52"/></w:rPr><w:t>Proposal</w:t></w:r></w:p><w:p w14:paraId="74CD8D2A" w14:textId="77777777" w:rsidR="00B073E6" w:rsidRDefault="00000000"><w:r><w:rPr><w:b/><w:bCs/><w:color w:val="1B3A5C"/><w:sz w:val="52"/><w:szCs w:val="52"/></w:rPr><w:t>For</w:t></w:r></w:p><w:p w14:paraId="0CAD8477" w14:textId="77777777" w:rsidR="00B073E6" w:rsidRDefault="00000000"><w:r><w:rPr><w:b/><w:bCs/><w:color w:val="1B3A5C"/><w:sz w:val="52"/><w:szCs w:val="52"/></w:rPr><w:t>Services</w:t></w:r></w:p></w:tc></w:tr><w:tr w:rsidR="00B073E6" w14:paraId="53159602" w14:textId="77777777"><w:tblPrEx><w:tblCellMar><w:top w:w="0" w:type="dxa"/><w:bottom w:w="0" w:type="dxa"/></w:tblCellMar></w:tblPrEx><w:trPr><w:trHeight w:hRule="exact" w:val="4900"/></w:trPr><w:tc><w:tcPr><w:tcW w:w="4400" w:type="dxa"/><w:shd w:val="clear" w:color="auto" w:fill="111111"/><w:tcMar><w:top w:w="70" w:type="dxa"/><w:left w:w="100" w:type="dxa"/><w:bottom w:w="70" w:type="dxa"/><w:right w:w="100" w:type="dxa"/></w:tcMar><w:vAlign w:val="center"/></w:tcPr><w:p w14:paraId="06E98B66" w14:textId="77777777" w:rsidR="00B073E6" w:rsidRDefault="00000000"><w:pPr><w:jc w:val="center"/></w:pPr><w:r><w:rPr><w:noProof/></w:rPr><w:drawing><wp:inline distT="0" distB="0" distL="0" distR="0" wp14:anchorId="046F5F62" wp14:editId="3FAAF48A"><wp:extent cx="2905125" cy="2952750"/><wp:effectExtent l="0" t="0" r="0" b="0"/><wp:docPr id="549372356" name="Picture 54937235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2952750"/></a:xfrm><a:prstGeom prst="rect"><a:avLst/></a:prstGeom></pic:spPr></pic:pic></a:graphicData></a:graphic></wp:inline></w:drawing></w: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48956BF2" w14:textId="77777777" w:rsidR="00B073E6" w:rsidRDefault="00B073E6"><w:pPr><w:spacing w:after="60"/></w:pPr></w:p><w:p w14:paraId="275AFCFB" w14:textId="77777777" w:rsidR="00B073E6" w:rsidRDefault="00000000"><w:pPr><w:spacing w:after="6"/></w:pPr><w:r><w:rPr><w:b/><w:bCs/><w:color w:val="1A1A1A"/><w:sz w:val="22"/><w:szCs w:val="22"/><w:u w:val="single"/></w:rPr><w:t>Prepared for:</w:t></w:r></w:p><w:p w14:paraId="68A7E965" w14:textId="77777777" w:rsidR="00B073E6" w:rsidRDefault="00B073E6"><w:pPr><w:spacing w:after="16"/></w:pPr></w:p><w:p w14:paraId="0CB1BB16" w14:textId="77777777" w:rsidR="00B073E6" w:rsidRDefault="00000000"><w:pPr><w:spacing w:after="4"/></w:pPr><w:r><w:rPr><w:b/><w:bCs/><w:color w:val="1A1A1A"/><w:sz w:val="22"/><w:szCs w:val="22"/></w:rPr><w:t>rajat</w:t></w:r></w:p><w:p w14:paraId="1962E3FB" w14:textId="77777777" w:rsidR="00B073E6" w:rsidRDefault="00000000"><w:pPr><w:spacing w:after="4"/></w:pPr><w:r><w:rPr><w:b/><w:bCs/><w:color w:val="1A1A1A"/><w:sz w:val="22"/><w:szCs w:val="22"/></w:rPr><w:t>CEO</w:t></w:r></w:p><w:p w14:paraId="01D0D560" w14:textId="77777777" w:rsidR="00B073E6" w:rsidRDefault="00000000"><w:pPr><w:spacing w:after="4"/></w:pPr><w:r><w:rPr><w:b/><w:bCs/><w:color w:val="1A1A1A"/><w:sz w:val="22"/><w:szCs w:val="22"/></w:rPr><w:t>11x inc</w:t></w:r></w:p><w:p w14:paraId="43967866" w14:textId="77777777" w:rsidR="00B073E6" w:rsidRDefault="00000000"><w:pPr><w:spacing w:after="4"/></w:pPr><w:r><w:rPr><w:color w:val="1A1A1A"/></w:rPr><w:t>rajat@gmail.com</w:t></w:r></w:p><w:p w14:paraId="7E95C78E" w14:textId="77777777" w:rsidR="00B073E6" w:rsidRDefault="00000000"><w:r><w:rPr><w:color w:val="1A1A1A"/></w:rPr><w:t>9876543210</w:t></w:r></w:p></w:tc></w:tr><w:tr w:rsidR="00B073E6" w14:paraId="0264A995" w14:textId="77777777"><w:tblPrEx><w:tblCellMar><w:top w:w="0" w:type="dxa"/><w:bottom w:w="0" w:type="dxa"/></w:tblCellMar></w:tblPrEx><w:trPr><w:trHeight w:hRule="exact" w:val="32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7E28BBA4" w14:textId="77777777" w:rsidR="00B073E6" w:rsidRDefault="00000000"><w:pPr><w:jc w:val="center"/></w:pPr><w:r><w:rPr><w:noProof/></w:rPr><w:drawing><wp:inline distT="0" distB="0" distL="0" distR="0" wp14:anchorId="1C74345A" wp14:editId="310928B4"><wp:extent cx="2905125" cy="1905000"/><wp:effectExtent l="0" t="0" r="0" b="0"/><wp:docPr id="1415726076" name="Picture 141572607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1905000"/></a:xfrm><a:prstGeom prst="rect"><a:avLst/></a:prstGeom></pic:spPr></pic:pic></a:graphicData></a:graphic></wp:inline></w:drawing></w:r></w:p></w:tc><w:tc><w:tcPr><w:tcW w:w="7506" w:type="dxa"/><w:shd w:val="clear" w:color="auto" w:fill="C0252D"/><w:tcMar><w:top w:w="0" w:type="dxa"/><w:left w:w="440" w:type="dxa"/><w:bottom w:w="0" w:type="dxa"/><w:right w:w="440" w:type="dxa"/></w:tcMar><w:vAlign w:val="center"/></w:tcPr><w:p w14:paraId="7BB37883" w14:textId="77777777" w:rsidR="00B073E6" w:rsidRDefault="00B073E6"><w:pPr><w:spacing w:after="60"/></w:pPr></w:p><w:p w14:paraId="2F233632" w14:textId="77777777" w:rsidR="00B073E6" w:rsidRDefault="00000000"><w:pPr><w:spacing w:after="6"/></w:pPr><w:r><w:rPr><w:b/><w:bCs/><w:color w:val="FFFFFF"/><w:sz w:val="22"/><w:szCs w:val="22"/><w:u w:val="single"/></w:rPr><w:t>Prepared by:</w:t></w:r></w:p><w:p w14:paraId="74E2F8B3" w14:textId="77777777" w:rsidR="00B073E6" w:rsidRDefault="00B073E6"><w:pPr><w:spacing w:after="16"/></w:pPr></w:p><w:p w14:paraId="426BD161" w14:textId="77777777" w:rsidR="00B073E6" w:rsidRDefault="00000000"><w:pPr><w:spacing w:after="4"/></w:pPr><w:r><w:rPr><w:b/><w:bCs/><w:color w:val="FFFFFF"/><w:sz w:val="22"/><w:szCs w:val="22"/></w:rPr><w:t>Siddharth Kohli</w:t></w:r></w:p><w:p w14:paraId="3D4C54E0" w14:textId="77777777" w:rsidR="00B073E6" w:rsidRDefault="00000000"><w:pPr><w:spacing w:after="4"/></w:pPr><w:r><w:rPr><w:b/><w:bCs/><w:color w:val="FFFFFF"/><w:sz w:val="22"/><w:szCs w:val="22"/></w:rPr><w:t>10x Global Private Limited</w:t></w:r></w:p><w:p w14:paraId="3460D8A9" w14:textId="77777777" w:rsidR="00B073E6" w:rsidRDefault="00000000"><w:r><w:rPr><w:color w:val="FFFFFF"/></w:rPr><w:t>siddharth@10xglobal.in</w:t></w:r></w:p></w:tc></w:tr></w:tbl><w:p w14:paraId="6ACA78F7" w14:textId="77777777" w:rsidR="00B073E6" w:rsidRDefault="00B073E6"><w:pPr><w:sectPr w:rsidR="00B073E6" w:rsidSect="00B02474"><w:type w:val="continuous"/><w:pgSz w:w="11906" w:h="16838"/><w:pgMar w:top="0" w:right="0" w:bottom="0" w:left="0" w:header="708" w:footer="708" w:gutter="0"/><w:cols w:space="720"/><w:docGrid w:linePitch="360"/></w:sectPr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42F99889" w14:textId="77777777"><w:tblPrEx><w:tblCellMar><w:top w:w="0" w:type="dxa"/><w:bottom w:w="0" w:type="dxa"/></w:tblCellMar></w:tblPrEx><w:tc><w:tcPr><w:tcW w:w="11429" w:type="dxa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100" w:type="dxa"/><w:left w:w="160" w:type="dxa"/><w:bottom w:w="100" w:type="dxa"/><w:right w:w="160" w:type="dxa"/></w:tcMar><w:vAlign w:val="center"/></w:tcPr><w:p w14:paraId="748F92A4" w14:textId="77777777" w:rsidR="00B073E6" w:rsidRDefault="00000000"><w:r><w:rPr><w:b/><w:bCs/><w:color w:val="FFFFFF"/><w:sz w:val="28"/><w:szCs w:val="28"/></w:rPr><w:lastRenderedPageBreak/><w:t>Table of Contents</w:t></w:r></w:p></w:tc></w:tr></w:tbl><w:p w14:paraId="7C5D9C74" w14:textId="77777777" w:rsidR="00B073E6" w:rsidRDefault="00B073E6"><w:pPr><w:spacing w:after="40"/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1B920C3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60" w:type="dxa"/><w:bottom w:w="70" w:type="dxa"/><w:right w:w="160" w:type="dxa"/></w:tcMar></w:tcPr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001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00" w:type="dxa"/><w:bottom w:w="70" w:type="dxa"/><w:right w:w="100" w:type="dxa"/></w:tcMar><w:vAlign w:val="top"/></w:tcPr><w:p w14:paraId="00001002" w14:textId="77777777" w:rsidR="00B073E6" w:rsidRDefault="00000000"><w:pPr><w:spacing w:after="28" w:line="244" w:lineRule="auto"/></w:pPr><w:r><w:rPr><w:rFonts w:ascii="Quicksand" w:eastAsia="Quicksand" w:hAnsi="Quicksand" w:cs="Quicksand" /><w:b/><w:bCs/><w:color w:val="C0252D"/><w:sz w:val="22"/><w:szCs w:val="22"/></w:rPr><w:t xml:space="preserve">Background: </w:t></w:r><w:r><w:rPr><w:rFonts w:ascii="Quicksand" w:eastAsia="Quicksand" w:hAnsi="Quicksand" w:cs="Quicksand" /><w:color w:val="1A1A1A"/><w:sz w:val="22"/><w:szCs w:val="22"/></w:rPr><w:t>11x inc is a leading company that provides quality services and solutions to its clients.</w:t></w:r></w:p></w:tc></w:tr></w:tbl><w:p w14:paraId="00001003" w14:textId="77777777" w:rsidR="00B073E6" w:rsidRDefault="00B073E6"><w:pPr><w:spacing w:after="36"/></w:pPr></w:p><w:p w14:paraId="00001004" w14:textId="77777777" w:rsidR="002549F2" w:rsidRDefault="002549F2"><w:pPr><w:spacing w:before="140" w:after="120" w:line="260" w:lineRule="auto" /><w:rPr><w:rFonts w:ascii="Quicksand" w:eastAsia="Quicksand" w:hAnsi="Quicksand" w:cs="Quicksand" /><w:b /><w:color w:val="A31134" /><w:sz w:val="22" /><w:szCs w:val="22" /></w:rPr></w:pPr><w:r><w:rPr><w:rFonts w:ascii="Quicksand" w:eastAsia="Quicksand" w:hAnsi="Quicksand" w:cs="Quicksand" /><w:b /><w:color w:val="A31134" /><w:sz w:val="22" /><w:szCs w:val="22" /></w:rPr><w:t>India</w:t></w:r></w:p><w:p w14:paraId="00001005" w14:textId="77777777" w:rsidR="002549F2" w:rsidRDefault="002549F2"><w:pPr><w:spacing w:before="40" w:after="40" w:line="220" w:lineRule="auto" /></w:pPr><w:r><w:rPr><w:rFonts w:ascii="Quicksand" w:eastAsia="Quicksand" w:hAnsi="Quicksand" w:cs="Quicksand" /><w:sz w:val="22" /><w:szCs w:val="22" /></w:rPr><w:t xml:space="preserve"> </w:t></w:r></w:p><w:p w14:paraId="00001006" w14:textId="77777777" w:rsidR="00B073E6" w:rsidRDefault="00B073E6"><w:pPr><w:spacing w:before="80" w:after="60"/></w:pPr><w:r><w:rPr><w:rFonts w:ascii="Quicksand" w:eastAsia="Quicksand" w:hAnsi="Quicksand" w:cs="Quicksand" /><w:b/><w:bCs/><w:color w:val="1B3A5C"/><w:sz w:val="20"/><w:szCs w:val="20"/></w:rPr><w:t>IN-SCOPE PROCESSES / SERVICES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457"/><w:gridCol w:w="2972"/></w:tblGrid><w:tr w:rsidR="00B073E6" w14:paraId="00001007" w14:textId="77777777"><w:tblPrEx><w:tblCellMar><w:top w:w="0" w:type="dxa"/><w:bottom w:w="0" w:type="dxa"/></w:tblCellMar></w:tblPrEx><w:trPr><w:tblHeader/></w:trPr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08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Section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09" w14:textId="77777777" w:rsidR="00B073E6" w:rsidRDefault="00B073E6"><w:pPr><w:spacing w:after="28" w:line="244" w:lineRule="auto"/><w:jc w:val="right"/></w:pPr></w:p></w:tc></w:tr><w:tr w:rsidR="00B073E6" w14:paraId="0000100A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0B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A.</w:t></w:r><w:r><w:rPr><w:rFonts w:ascii="Quicksand" w:eastAsia="Quicksand" w:hAnsi="Quicksand" w:cs="Quicksand" /><w:color w:val="1A1A1A"/><w:sz w:val="18"/><w:szCs w:val="18"/></w:rPr><w:t xml:space="preserve">  Income Tax Compliances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0C" w14:textId="77777777" w:rsidR="00B073E6" w:rsidRDefault="00000000"><w:pPr><w:spacing w:after="28" w:line="244" w:lineRule="auto"/><w:jc w:val="right"/></w:pPr><w:r><w:rPr><w:rFonts w:ascii="Quicksand" w:eastAsia="Quicksand" w:hAnsi="Quicksand" w:cs="Quicksand" /><w:color w:val="1B3A5C"/><w:sz w:val="18"/><w:szCs w:val="18"/></w:rPr><w:t>→</w:t></w:r></w:p></w:tc></w:tr><w:tr w:rsidR="00B073E6" w14:paraId="0000100D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0E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B.</w:t></w:r><w:r><w:rPr><w:rFonts w:ascii="Quicksand" w:eastAsia="Quicksand" w:hAnsi="Quicksand" w:cs="Quicksand" /><w:color w:val="1A1A1A"/><w:sz w:val="18"/><w:szCs w:val="18"/></w:rPr><w:t xml:space="preserve">  Legal Services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0F" w14:textId="77777777" w:rsidR="00B073E6" w:rsidRDefault="00000000"><w:pPr><w:spacing w:after="28" w:line="244" w:lineRule="auto"/><w:jc w:val="right"/></w:pPr><w:r><w:rPr><w:rFonts w:ascii="Quicksand" w:eastAsia="Quicksand" w:hAnsi="Quicksand" w:cs="Quicksand" /><w:color w:val="1B3A5C"/><w:sz w:val="18"/><w:szCs w:val="18"/></w:rPr><w:t>→</w:t></w:r></w:p></w:tc></w:tr><w:tr w:rsidR="00B073E6" w14:paraId="00001010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11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C.</w:t></w:r><w:r><w:rPr><w:rFonts w:ascii="Quicksand" w:eastAsia="Quicksand" w:hAnsi="Quicksand" w:cs="Quicksand" /><w:color w:val="1A1A1A"/><w:sz w:val="18"/><w:szCs w:val="18"/></w:rPr><w:t xml:space="preserve">  Audits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12" w14:textId="77777777" w:rsidR="00B073E6" w:rsidRDefault="00000000"><w:pPr><w:spacing w:after="28" w:line="244" w:lineRule="auto"/><w:jc w:val="right"/></w:pPr><w:r><w:rPr><w:rFonts w:ascii="Quicksand" w:eastAsia="Quicksand" w:hAnsi="Quicksand" w:cs="Quicksand" /><w:color w:val="1B3A5C"/><w:sz w:val="18"/><w:szCs w:val="18"/></w:rPr><w:t>→</w:t></w:r></w:p></w:tc></w:tr></w:tbl><w:p w14:paraId="00001013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014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15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 xml:space="preserve">A.  Income Tax Compliances</w:t></w:r></w:p></w:tc></w:tr><w:tr w:rsidR="00B073E6" w14:paraId="00001016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17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18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19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1A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1B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101C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1D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A1</w:t></w:r></w:p><w:p w14:paraId="0000101E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Monthly – TDS/TCS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1F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TDS/TCS computation, challan deposit (Form 281) and applicability review — salaries, rent, professional fees, contractor payments.</w:t></w:r></w:p><w:p w14:paraId="00001020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Records; preparation and filing of TDS returns (Form 24Q/26Q); issue Form 16/16A as applicable.</w:t></w:r></w:p><w:p w14:paraId="0000102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Not included: IT assessment/litigation; PAN application/correction; advance tax; transfer pricing; DTAA/international taxation.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22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Payment details subject to TDS/TCS; PAN of vendors/employees; IT portal and DSC access.</w:t></w:r></w:p><w:p w14:paraId="0000102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Investment proofs; P&amp;L data; quarterly income estimates.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2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≤100 TDS payments/month; ≤50 employees; ≤4 TDS/TCS categories quarterly; ≤200 TDS certificates/year; ≤20 Form 15CA/CB/year.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25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₹8,000/month</w:t></w:r></w:p></w:tc></w:tr></w:tbl><w:p w14:paraId="00001026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027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28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 xml:space="preserve">B.  Legal Services</w:t></w:r></w:p></w:tc></w:tr><w:tr w:rsidR="00B073E6" w14:paraId="00001029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2A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2B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2C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2D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2E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102F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30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B1</w:t></w:r></w:p><w:p w14:paraId="0000103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Legal Support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32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Review of non-complex legal agreements – up to 3/month.</w:t></w:r></w:p><w:p w14:paraId="00001033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Drafting of new agreements tailored to client requirements – up to 1/month.</w:t></w:r></w:p><w:p w14:paraId="0000103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Not included: Investment rounds; secondary share transactions; JV/business sale; investor relations.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35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Management time for review and approval of open points on agreements.</w:t></w:r></w:p><w:p w14:paraId="00001036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Background on drafting/review requirements.</w:t></w:r></w:p><w:p w14:paraId="0000103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Consult before any new type of transaction to cross-check SHA compliance impact.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38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≤3 agreement reviews and ≤1 new draft/month.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39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₹15,000/month</w:t></w:r></w:p></w:tc></w:tr></w:tbl><w:p w14:paraId="0000103A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03B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3C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 xml:space="preserve">C.  Audits</w:t></w:r></w:p></w:tc></w:tr><w:tr w:rsidR="00B073E6" w14:paraId="0000103D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3E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3F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40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41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42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1043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44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C1</w:t></w:r></w:p><w:p w14:paraId="00001045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Statutory Audit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46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test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4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test2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48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Annual audit; turnover ≤ ₹50 cr; ≤2,000 transactions reviewed annually.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49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₹125,000/year</w:t></w:r></w:p></w:tc></w:tr></w:tbl><w:p w14:paraId="0000104A" w14:textId="77777777" w:rsidR="00B073E6" w:rsidRDefault="00B073E6"><w:pPr><w:spacing w:after="36"/></w:pPr></w:p><w:p w14:paraId="0000104B" w14:textId="77777777" w:rsidR="00B073E6" w:rsidRDefault="00000000"><w:pPr><w:spacing w:after="60"/></w:pPr><w:r><w:rPr><w:rFonts w:ascii="Quicksand" w:eastAsia="Quicksand" w:hAnsi="Quicksand" w:cs="Quicksand" /><w:b/><w:bCs/><w:color w:val="1B3A5C"/><w:sz w:val="28"/><w:szCs w:val="28"/></w:rPr><w:t>Summary of Fees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45"/><w:gridCol w:w="545"/><w:gridCol w:w="3504"/><w:gridCol w:w="1402"/><w:gridCol w:w="2180"/></w:tblGrid><w:tr w:rsidR="00B073E6" w14:paraId="0000104C" w14:textId="77777777"><w:tblPrEx><w:tblCellMar><w:top w:w="0" w:type="dxa"/><w:bottom w:w="0" w:type="dxa"/></w:tblCellMar></w:tblPrEx><w:trPr><w:tblHeader/></w:trPr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4D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4E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Sub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4F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Description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50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Frequency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51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1052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53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A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54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A1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55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Monthly – TDS/TCS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56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Monthly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57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₹8,000/month</w:t></w:r></w:p></w:tc></w:tr><w:tr w:rsidR="00B073E6" w14:paraId="00001058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59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B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5A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B1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5B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Legal Support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5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Monthly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5D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₹15,000/month</w:t></w:r></w:p></w:tc></w:tr><w:tr w:rsidR="00B073E6" w14:paraId="0000105E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5F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60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C1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6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Statutory Audit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62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Yearly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63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₹125,000/year</w:t></w:r></w:p></w:tc></w:tr></w:tbl><w:p w14:paraId="00001064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715"/><w:gridCol w:w="5715"/></w:tblGrid><w:tr w:rsidR="00B073E6" w14:paraId="00001065" w14:textId="77777777"><w:tblPrEx><w:tblCellMar><w:top w:w="0" w:type="dxa"/><w:bottom w:w="0" w:type="dxa"/></w:tblCellMar></w:tblPrEx><w:tc><w:tcPr><w:tcW w:w="0" w:type="auto"/><w:gridSpan w:val="2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66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Team Deployment &amp; Notes</w:t></w:r></w:p></w:tc></w:tr><w:tr w:rsidR="00B073E6" w14:paraId="00001067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68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Article: CA pursuing candidate who has cleared Intermediate Level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6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Analyst: CA (Semi- Qualified) or Accountant with minimum 1 year experience, along with 3 years of articleship exposure</w:t></w:r></w:p></w:tc></w:tr><w:tr w:rsidR="00B073E6" w14:paraId="0000106A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6B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Analyst: CA (Semi- Qualified) or Accountant with minimum 2 year experience, along with 3 years of articleship exposure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6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[semi qualified or with minimum 2 years of accounting and finance experience for day-to-day accounting entries and co-ordination]- Qualified CA fresher (with 3 years articleship) or minimum 4 years experience as finance professional</w:t></w:r></w:p></w:tc></w:tr><w:tr w:rsidR="00B073E6" w14:paraId="0000106D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6E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Associate / AM: Qualified CA with 3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6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Assistant Manager: Qualified CA with 4 years of relevant post qualification experience in accounting / tax / secretarial compliance</w:t></w:r></w:p></w:tc></w:tr><w:tr w:rsidR="00B073E6" w14:paraId="00001070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7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Manager: Qualified CA with 5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72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Manager: Qualified CA with 6 years of relevant post qualification experience in accounting / tax / secretarial compliance</w:t></w:r></w:p></w:tc></w:tr><w:tr w:rsidR="00B073E6" w14:paraId="00001073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7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Director / Partner [escalation, queries, review meetings, relationship manager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75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 xml:space="preserve"> </w:t></w:r></w:p></w:tc></w:tr></w:tbl><w:p w14:paraId="00001076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077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78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General Scope Exclusions</w:t></w:r></w:p></w:tc></w:tr><w:tr w:rsidR="00B073E6" w14:paraId="00001079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7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 certification unless otherwise included in the scope</w:t></w:r></w:p></w:tc></w:tr><w:tr w:rsidR="00B073E6" w14:paraId="0000107B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7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Drafting / review of legal agreements or customer contracts</w:t></w:r></w:p></w:tc></w:tr><w:tr w:rsidR="00B073E6" w14:paraId="0000107D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7E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Assistance in due diligence in case of funding round</w:t></w:r></w:p></w:tc></w:tr><w:tr w:rsidR="00B073E6" w14:paraId="0000107F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8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Accounting or any other assistance in case of M&amp;A</w:t></w:r></w:p></w:tc></w:tr><w:tr w:rsidR="00B073E6" w14:paraId="00001081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82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Representation before the tax or other authorities unless otherwise agreed in the scope</w:t></w:r></w:p></w:tc></w:tr><w:tr w:rsidR="00B073E6" w14:paraId="00001083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8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Anything specifically not mentioned in the scope shall be deemed excluded</w:t></w:r></w:p></w:tc></w:tr></w:tbl><w:p w14:paraId="00001085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086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87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Commercials</w:t></w:r></w:p></w:tc></w:tr><w:tr w:rsidR="00B073E6" w14:paraId="00001088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8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All fees are exclusive of GST as applicable.</w:t></w:r></w:p></w:tc></w:tr><w:tr w:rsidR="00B073E6" w14:paraId="0000108A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8B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Government fee and out of pocket expenses shall be reimbursed on actual basis</w:t></w:r></w:p></w:tc></w:tr></w:tbl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icksand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sand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B0604030504040204"/>
    <w:charset w:val="00"/>
    <w:family w:val="swiss"/>
    <w:pitch w:val="variable"/>
    <w:sig w:usb0="A00002EF" w:usb1="4000207B" w:usb2="00000000" w:usb3="00000000" w:csb0="0000009F" w:csb1="00000000"/>
    <w:embedRegular r:id="rId1"/>
    <w:embedBold r:id="rId1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Quicksand" w:eastAsia="Quicksand" w:hAnsi="Quicksand" w:cs="Quicksand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quicksand.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