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9F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9FA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9FB" w14:textId="77777777" w:rsidR="00B073E6" w:rsidRDefault="00B073E6"><w:pPr><w:spacing w:after="36"/></w:pPr></w:p><w:p w14:paraId="000019FC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9FD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9FE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9FF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0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1" w14:textId="77777777" w:rsidR="00B073E6" w:rsidRDefault="00B073E6"><w:pPr><w:spacing w:after="28" w:line="244" w:lineRule="auto"/><w:jc w:val="right"/></w:pPr></w:p></w:tc></w:tr><w:tr w:rsidR="00B073E6" w14:paraId="00001A0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3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4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A05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06" w14:textId="77777777" w:rsidR="00B073E6" w:rsidRDefault="00000000"><w:pPr><w:spacing w:after="28" w:line="244" w:lineRule="auto"/></w:pPr><w:r><w:rPr><w:b/><w:bCs/><w:color w:val="1B6B6B"/><w:sz w:val="18"/><w:szCs w:val="18"/></w:rPr><w:t>G.</w:t></w:r><w:r><w:rPr><w:color w:val="1A1A1A"/><w:sz w:val="18"/><w:szCs w:val="18"/></w:rPr><w:t xml:space="preserve">  Legal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07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A08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9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A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A0B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0C" w14:textId="77777777" w:rsidR="00B073E6" w:rsidRDefault="00000000"><w:pPr><w:spacing w:after="28" w:line="244" w:lineRule="auto"/></w:pPr><w:r><w:rPr><w:b/><w:bCs/><w:color w:val="1B6B6B"/><w:sz w:val="18"/><w:szCs w:val="18"/></w:rPr><w:t>J.</w:t></w:r><w:r><w:rPr><w:color w:val="1A1A1A"/><w:sz w:val="18"/><w:szCs w:val="18"/></w:rPr><w:t xml:space="preserve">  Financial Due Diligence – Buy-Side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0D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A0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0F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10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A11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2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3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4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5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6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17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8" w14:textId="77777777" w:rsidR="00B073E6" w:rsidRDefault="00000000"><w:pPr><w:spacing w:after="28" w:line="244" w:lineRule="auto"/></w:pPr><w:r><w:rPr><w:b/><w:bCs/><w:color w:val="1B6B6B"/><w:sz w:val="18"/><w:szCs w:val="18"/></w:rPr><w:t>C1</w:t></w:r></w:p><w:p w14:paraId="00001A19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A" w14:textId="77777777" w:rsidR="00B073E6" w:rsidRDefault="00000000"><w:pPr><w:spacing w:after="28" w:line="244" w:lineRule="auto"/></w:pPr><w:r><w:rPr><w:color w:val="1A1A1A"/><w:sz w:val="18"/><w:szCs w:val="18"/></w:rPr><w:t>TDS/TCS computation, challan deposit (Form 281) and applicability review — salaries, rent, professional fees, contractor payments.</w:t></w:r></w:p><w:p w14:paraId="00001A1B" w14:textId="77777777" w:rsidR="00B073E6" w:rsidRDefault="00000000"><w:pPr><w:spacing w:after="28" w:line="244" w:lineRule="auto"/></w:pPr><w:r><w:rPr><w:color w:val="1A1A1A"/><w:sz w:val="18"/><w:szCs w:val="18"/></w:rPr><w:t>Records; preparation and filing of TDS returns (Form 24Q/26Q); issue Form 16/16A as applicable.</w:t></w:r></w:p><w:p w14:paraId="00001A1C" w14:textId="77777777" w:rsidR="00B073E6" w:rsidRDefault="00000000"><w:pPr><w:spacing w:after="4" w:line="244" w:lineRule="auto"/></w:pPr><w:r><w:rPr><w:color w:val="1A1A1A"/><w:sz w:val="18"/><w:szCs w:val="18"/></w:rPr><w:t>Not included: IT assessment/litigation; PAN application/correction; advance tax; transfer pricing; DTAA/international taxation.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D" w14:textId="77777777" w:rsidR="00B073E6" w:rsidRDefault="00000000"><w:pPr><w:spacing w:after="28" w:line="244" w:lineRule="auto"/></w:pPr><w:r><w:rPr><w:color w:val="1A1A1A"/><w:sz w:val="18"/><w:szCs w:val="18"/></w:rPr><w:t>Payment details subject to TDS/TCS; PAN of vendors/employees; IT portal and DSC access.</w:t></w:r></w:p><w:p w14:paraId="00001A1E" w14:textId="77777777" w:rsidR="00B073E6" w:rsidRDefault="00000000"><w:pPr><w:spacing w:after="4" w:line="244" w:lineRule="auto"/></w:pPr><w:r><w:rPr><w:color w:val="1A1A1A"/><w:sz w:val="18"/><w:szCs w:val="18"/></w:rPr><w:t>Investment proofs; P&amp;L data;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F" w14:textId="77777777" w:rsidR="00B073E6" w:rsidRDefault="00000000"><w:pPr><w:spacing w:after="4" w:line="244" w:lineRule="auto"/></w:pPr><w:r><w:rPr><w:color w:val="1A1A1A"/><w:sz w:val="18"/><w:szCs w:val="18"/></w:rPr><w:t>≤100 TDS payments/month; ≤50 employees; ≤4 TDS/TCS categories quarterly; ≤200 TDS certificates/year; ≤20 Form 15CA/CB/year.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0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/w:tbl><w:p w14:paraId="00001A2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2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23" w14:textId="77777777" w:rsidR="00B073E6" w:rsidRDefault="00000000"><w:pPr><w:spacing w:after="28" w:line="244" w:lineRule="auto"/></w:pPr><w:r><w:rPr><w:b/><w:bCs/><w:color w:val="FFFFFF"/><w:sz w:val="22"/><w:szCs w:val="22"/></w:rPr><w:t xml:space="preserve">G.  Legal Services</w:t></w:r></w:p></w:tc></w:tr><w:tr w:rsidR="00B073E6" w14:paraId="00001A2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5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6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7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8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2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B" w14:textId="77777777" w:rsidR="00B073E6" w:rsidRDefault="00000000"><w:pPr><w:spacing w:after="28" w:line="244" w:lineRule="auto"/></w:pPr><w:r><w:rPr><w:b/><w:bCs/><w:color w:val="1B6B6B"/><w:sz w:val="18"/><w:szCs w:val="18"/></w:rPr><w:t>G1</w:t></w:r></w:p><w:p w14:paraId="00001A2C" w14:textId="77777777" w:rsidR="00B073E6" w:rsidRDefault="00000000"><w:pPr><w:spacing w:after="4" w:line="244" w:lineRule="auto"/></w:pPr><w:r><w:rPr><w:color w:val="1A1A1A"/><w:sz w:val="18"/><w:szCs w:val="18"/></w:rPr><w:t>Legal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D" w14:textId="77777777" w:rsidR="00B073E6" w:rsidRDefault="00000000"><w:pPr><w:spacing w:after="28" w:line="244" w:lineRule="auto"/></w:pPr><w:r><w:rPr><w:color w:val="1A1A1A"/><w:sz w:val="18"/><w:szCs w:val="18"/></w:rPr><w:t>Review of non-complex legal agreements – up to 3/month.</w:t></w:r></w:p><w:p w14:paraId="00001A2E" w14:textId="77777777" w:rsidR="00B073E6" w:rsidRDefault="00000000"><w:pPr><w:spacing w:after="28" w:line="244" w:lineRule="auto"/></w:pPr><w:r><w:rPr><w:color w:val="1A1A1A"/><w:sz w:val="18"/><w:szCs w:val="18"/></w:rPr><w:t>Drafting of new agreements tailored to client requirements – up to 1/month.</w:t></w:r></w:p><w:p w14:paraId="00001A2F" w14:textId="77777777" w:rsidR="00B073E6" w:rsidRDefault="00000000"><w:pPr><w:spacing w:after="4" w:line="244" w:lineRule="auto"/></w:pPr><w:r><w:rPr><w:color w:val="1A1A1A"/><w:sz w:val="18"/><w:szCs w:val="18"/></w:rPr><w:t>Not included: Investment rounds; secondary share transactions; JV/business sale; investor relations.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0" w14:textId="77777777" w:rsidR="00B073E6" w:rsidRDefault="00000000"><w:pPr><w:spacing w:after="28" w:line="244" w:lineRule="auto"/></w:pPr><w:r><w:rPr><w:color w:val="1A1A1A"/><w:sz w:val="18"/><w:szCs w:val="18"/></w:rPr><w:t>Management time for review and approval of open points on agreements.</w:t></w:r></w:p><w:p w14:paraId="00001A31" w14:textId="77777777" w:rsidR="00B073E6" w:rsidRDefault="00000000"><w:pPr><w:spacing w:after="28" w:line="244" w:lineRule="auto"/></w:pPr><w:r><w:rPr><w:color w:val="1A1A1A"/><w:sz w:val="18"/><w:szCs w:val="18"/></w:rPr><w:t>Background on drafting/review requirements.</w:t></w:r></w:p><w:p w14:paraId="00001A32" w14:textId="77777777" w:rsidR="00B073E6" w:rsidRDefault="00000000"><w:pPr><w:spacing w:after="4" w:line="244" w:lineRule="auto"/></w:pPr><w:r><w:rPr><w:color w:val="1A1A1A"/><w:sz w:val="18"/><w:szCs w:val="18"/></w:rPr><w:t>Consult before any new type of transaction to cross-check SHA compliance impact.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3" w14:textId="77777777" w:rsidR="00B073E6" w:rsidRDefault="00000000"><w:pPr><w:spacing w:after="4" w:line="244" w:lineRule="auto"/></w:pPr><w:r><w:rPr><w:color w:val="1A1A1A"/><w:sz w:val="18"/><w:szCs w:val="18"/></w:rPr><w:t>≤3 agreement reviews and ≤1 new draft/month.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4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/w:tbl><w:p w14:paraId="00001A3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3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37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A3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39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3A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3B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3C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3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3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F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A40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1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A42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A43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A44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A45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A46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7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A48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9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A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A4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4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4D" w14:textId="77777777" w:rsidR="00B073E6" w:rsidRDefault="00000000"><w:pPr><w:spacing w:after="28" w:line="244" w:lineRule="auto"/></w:pPr><w:r><w:rPr><w:b/><w:bCs/><w:color w:val="FFFFFF"/><w:sz w:val="22"/><w:szCs w:val="22"/></w:rPr><w:t xml:space="preserve">J.  Financial Due Diligence – Buy-Side</w:t></w:r></w:p></w:tc></w:tr><w:tr w:rsidR="00B073E6" w14:paraId="00001A4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4F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50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51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52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53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5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55" w14:textId="77777777" w:rsidR="00B073E6" w:rsidRDefault="00000000"><w:pPr><w:spacing w:after="28" w:line="244" w:lineRule="auto"/></w:pPr><w:r><w:rPr><w:b/><w:bCs/><w:color w:val="1B6B6B"/><w:sz w:val="18"/><w:szCs w:val="18"/></w:rPr><w:t>J1</w:t></w:r></w:p><w:p w14:paraId="00001A56" w14:textId="77777777" w:rsidR="00B073E6" w:rsidRDefault="00000000"><w:pPr><w:spacing w:after="4" w:line="244" w:lineRule="auto"/></w:pPr><w:r><w:rPr><w:color w:val="1A1A1A"/><w:sz w:val="18"/><w:szCs w:val="18"/></w:rPr><w:t>Buy-Side FDD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57" w14:textId="77777777" w:rsidR="00B073E6" w:rsidRDefault="00000000"><w:pPr><w:spacing w:after="28" w:line="244" w:lineRule="auto"/></w:pPr><w:r><w:rPr><w:color w:val="1A1A1A"/><w:sz w:val="18"/><w:szCs w:val="18"/></w:rPr><w:t>Quality of Earnings and Profitability evaluation.</w:t></w:r></w:p><w:p w14:paraId="00001A58" w14:textId="77777777" w:rsidR="00B073E6" w:rsidRDefault="00000000"><w:pPr><w:spacing w:after="28" w:line="244" w:lineRule="auto"/></w:pPr><w:r><w:rPr><w:color w:val="1A1A1A"/><w:sz w:val="18"/><w:szCs w:val="18"/></w:rPr><w:t>Working Capital and Cash Flow Assessment.</w:t></w:r></w:p><w:p w14:paraId="00001A59" w14:textId="77777777" w:rsidR="00B073E6" w:rsidRDefault="00000000"><w:pPr><w:spacing w:after="28" w:line="244" w:lineRule="auto"/></w:pPr><w:r><w:rPr><w:color w:val="1A1A1A"/><w:sz w:val="18"/><w:szCs w:val="18"/></w:rPr><w:t>Net Debt and Balance Sheet Health review.</w:t></w:r></w:p><w:p w14:paraId="00001A5A" w14:textId="77777777" w:rsidR="00B073E6" w:rsidRDefault="00000000"><w:pPr><w:spacing w:after="28" w:line="244" w:lineRule="auto"/></w:pPr><w:r><w:rPr><w:color w:val="1A1A1A"/><w:sz w:val="18"/><w:szCs w:val="18"/></w:rPr><w:t>Tax, Compliance and Related Party Transactions analysis.</w:t></w:r></w:p><w:p w14:paraId="00001A5B" w14:textId="77777777" w:rsidR="00B073E6" w:rsidRDefault="00000000"><w:pPr><w:spacing w:after="28" w:line="244" w:lineRule="auto"/></w:pPr><w:r><w:rPr><w:color w:val="1A1A1A"/><w:sz w:val="18"/><w:szCs w:val="18"/></w:rPr><w:t>Business Plan Review and Deal Implications.</w:t></w:r></w:p><w:p w14:paraId="00001A5C" w14:textId="77777777" w:rsidR="00B073E6" w:rsidRDefault="00000000"><w:pPr><w:spacing w:after="28" w:line="244" w:lineRule="auto"/></w:pPr><w:r><w:rPr><w:color w:val="1A1A1A"/><w:sz w:val="18"/><w:szCs w:val="18"/></w:rPr><w:t>Detailed FDD report with findings and recommendations.</w:t></w:r></w:p><w:p w14:paraId="00001A5D" w14:textId="77777777" w:rsidR="00B073E6" w:rsidRDefault="00000000"><w:pPr><w:spacing w:after="28" w:line="244" w:lineRule="auto"/></w:pPr><w:r><w:rPr><w:color w:val="1A1A1A"/><w:sz w:val="18"/><w:szCs w:val="18"/></w:rPr><w:t>Not included: Legal due diligence; commercial due diligence; tax advisory; valuation services.</w:t></w:r></w:p><w:p w14:paraId="00001A5E" w14:textId="77777777" w:rsidR="00B073E6" w:rsidRDefault="00000000"><w:pPr><w:spacing w:after="28" w:line="244" w:lineRule="auto"/></w:pPr><w:r><w:rPr><w:color w:val="1A1A1A"/><w:sz w:val="18"/><w:szCs w:val="18"/></w:rPr><w:t>Access to target company financial records; facilitate management meetings.</w:t></w:r></w:p><w:p w14:paraId="00001A5F" w14:textId="77777777" w:rsidR="00B073E6" w:rsidRDefault="00000000"><w:pPr><w:spacing w:after="28" w:line="244" w:lineRule="auto"/></w:pPr><w:r><w:rPr><w:color w:val="1A1A1A"/><w:sz w:val="18"/><w:szCs w:val="18"/></w:rPr><w:t>Support data room access; coordinate with other advisors.</w:t></w:r></w:p><w:p w14:paraId="00001A60" w14:textId="77777777" w:rsidR="00B073E6" w:rsidRDefault="00000000"><w:pPr><w:spacing w:after="4" w:line="244" w:lineRule="auto"/></w:pPr><w:r><w:rPr><w:color w:val="1A1A1A"/><w:sz w:val="18"/><w:szCs w:val="18"/></w:rPr><w:t>Complete financial review: QoE analysis; working capital; debt/balance sheet; management projections.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3" w14:textId="77777777" w:rsidR="00B073E6" w:rsidRDefault="00000000"><w:pPr><w:spacing w:after="4" w:line="244" w:lineRule="auto"/><w:jc w:val="right"/></w:pPr><w:r><w:rPr><w:b/><w:bCs/><w:color w:val="1B3A5C"/><w:sz w:val="18"/><w:szCs w:val="18"/></w:rPr><w:t>₹500,000 one-time</w:t></w:r></w:p></w:tc></w:tr></w:tbl><w:p w14:paraId="00001A64" w14:textId="77777777" w:rsidR="00B073E6" w:rsidRDefault="00B073E6"><w:pPr><w:spacing w:after="36"/></w:pPr></w:p><w:p w14:paraId="00001A65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A66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67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68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69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6A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6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6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D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E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6F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0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1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A72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3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4" w14:textId="77777777" w:rsidR="00B073E6" w:rsidRDefault="00000000"><w:pPr><w:spacing w:after="4" w:line="244" w:lineRule="auto"/></w:pPr><w:r><w:rPr><w:b/><w:bCs/><w:color w:val="1B6B6B"/><w:sz w:val="18"/><w:szCs w:val="18"/></w:rPr><w:t>C1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5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6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7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w:tr w:rsidR="00B073E6" w14:paraId="00001A78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9" w14:textId="77777777" w:rsidR="00B073E6" w:rsidRDefault="00000000"><w:pPr><w:spacing w:after="4" w:line="244" w:lineRule="auto"/></w:pPr><w:r><w:rPr><w:b/><w:bCs/><w:color w:val="1B3A5C"/><w:sz w:val="18"/><w:szCs w:val="18"/></w:rPr><w:t>G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A" w14:textId="77777777" w:rsidR="00B073E6" w:rsidRDefault="00000000"><w:pPr><w:spacing w:after="4" w:line="244" w:lineRule="auto"/></w:pPr><w:r><w:rPr><w:b/><w:bCs/><w:color w:val="1B6B6B"/><w:sz w:val="18"/><w:szCs w:val="18"/></w:rPr><w:t>G1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B" w14:textId="77777777" w:rsidR="00B073E6" w:rsidRDefault="00000000"><w:pPr><w:spacing w:after="4" w:line="244" w:lineRule="auto"/></w:pPr><w:r><w:rPr><w:color w:val="1A1A1A"/><w:sz w:val="18"/><w:szCs w:val="18"/></w:rPr><w:t>Legal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C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7D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w:tr w:rsidR="00B073E6" w14:paraId="00001A7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7F" w14:textId="77777777" w:rsidR="00B073E6" w:rsidRDefault="00000000"><w:pPr><w:spacing w:after="4" w:line="244" w:lineRule="auto"/></w:pPr><w:r><w:rPr><w:b/><w:bCs/><w:color w:val="1B3A5C"/><w:sz w:val="18"/><w:szCs w:val="18"/></w:rPr><w:t>J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0" w14:textId="77777777" w:rsidR="00B073E6" w:rsidRDefault="00000000"><w:pPr><w:spacing w:after="4" w:line="244" w:lineRule="auto"/></w:pPr><w:r><w:rPr><w:b/><w:bCs/><w:color w:val="1B6B6B"/><w:sz w:val="18"/><w:szCs w:val="18"/></w:rPr><w:t>J1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1" w14:textId="77777777" w:rsidR="00B073E6" w:rsidRDefault="00000000"><w:pPr><w:spacing w:after="4" w:line="244" w:lineRule="auto"/></w:pPr><w:r><w:rPr><w:color w:val="1A1A1A"/><w:sz w:val="18"/><w:szCs w:val="18"/></w:rPr><w:t>Buy-Side FDD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2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3" w14:textId="77777777" w:rsidR="00B073E6" w:rsidRDefault="00000000"><w:pPr><w:spacing w:after="4" w:line="244" w:lineRule="auto"/><w:jc w:val="right"/></w:pPr><w:r><w:rPr><w:b/><w:bCs/><w:color w:val="1B3A5C"/><w:sz w:val="18"/><w:szCs w:val="18"/></w:rPr><w:t>₹500,000 one-time</w:t></w:r></w:p></w:tc></w:tr></w:tbl><w:p w14:paraId="00001A8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A85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86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A8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88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89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A8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B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8C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A8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8E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8F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A9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91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92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A9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94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95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A9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9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98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A9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9A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A9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9C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A9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9E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A9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A0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AA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A2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AA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A4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AA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A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A7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AA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A9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AA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AB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