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41"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2026-05-15</w:t>
      </w:r>
    </w:p>
    <w:p w14:paraId="0000102C"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02D"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02E"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Nexus Fintech - Financial Year 26-27</w:t>
      </w:r>
    </w:p>
    <w:p w14:paraId="0000102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Nexus,</w:t>
      </w:r>
    </w:p>
    <w:p w14:paraId="0000103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31"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32"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3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03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035"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036"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03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03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039"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03A"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Nexus</w:t>
      </w:r>
    </w:p>
    <w:p w14:paraId="0000103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03C"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03D"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03E"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03F"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04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p w14:paraId="0000104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BACKGROUND</w:t>
      </w:r>
    </w:p>
    <w:p w14:paraId="0000104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44"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Nexus Fintech is a leading company that provides quality services and solutions to its clients.</w:t>
      </w:r>
    </w:p>
    <w:p w14:paraId="0000104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4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In-scope processes / services</w:t>
      </w:r>
    </w:p>
    <w:p w14:paraId="0000104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48"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A. Transfer pricing audit — Form 3CEB</w:t>
      </w:r>
    </w:p>
    <w:p w14:paraId="00001049"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B. TDS/TCS — quarterly returns</w:t>
      </w:r>
    </w:p>
    <w:p w14:paraId="0000104A"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4B"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A. Financial Reporting &amp; Compliance</w:t>
      </w:r>
    </w:p>
    <w:p w14:paraId="0000104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4D"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04E"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H3. Transfer pricing audit — Form 3CEB</w:t>
      </w:r>
    </w:p>
    <w:p w14:paraId="0000104F"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H3: INR 50,000 Yearly</w:t>
      </w:r>
    </w:p>
    <w:p w14:paraId="00001050"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51"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 Transactions &amp; Regulatory Compliance</w:t>
      </w:r>
    </w:p>
    <w:p w14:paraId="0000105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53"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054"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C2. TDS/TCS — quarterly returns</w:t>
      </w:r>
    </w:p>
    <w:p w14:paraId="00001055"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C2: INR 25,000 Quarterly</w:t>
      </w:r>
    </w:p>
    <w:p w14:paraId="0000105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57"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Summary of Fees</w:t>
      </w:r>
    </w:p>
    <w:p w14:paraId="00001058" w14:textId="77777777" w:rsidR="002549F2" w:rsidRDefault="002549F2">
      <w:pPr>
        <w:spacing w:before="40" w:after="40" w:line="220" w:lineRule="auto"/>
      </w:pPr>
      <w:r>
        <w:rPr>
          <w:rFonts w:ascii="Times New Roman" w:eastAsia="Inter" w:hAnsi="Times New Roman" w:cs="Times New Roman"/>
          <w:sz w:val="22"/>
          <w:szCs w:val="22"/>
        </w:rPr>
        <w:t xml:space="preserve"> </w:t>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795"/>
        <w:gridCol w:w="1784"/>
        <w:gridCol w:w="1739"/>
        <w:gridCol w:w="1777"/>
      </w:tblGrid>
      <w:tr w:rsidR="002549F2" w14:paraId="00001059" w14:textId="77777777">
        <w:trPr>
          <w:cantSplit/>
          <w:trHeight w:val="299"/>
        </w:trPr>
        <w:tc>
          <w:tcPr>
            <w:tcW w:w="1921" w:type="dxa"/>
          </w:tcPr>
          <w:p w14:paraId="0000105A"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Section</w:t>
            </w:r>
          </w:p>
        </w:tc>
        <w:tc>
          <w:tcPr>
            <w:tcW w:w="1795" w:type="dxa"/>
          </w:tcPr>
          <w:p w14:paraId="0000105B"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Sub Section</w:t>
            </w:r>
          </w:p>
        </w:tc>
        <w:tc>
          <w:tcPr>
            <w:tcW w:w="1784" w:type="dxa"/>
          </w:tcPr>
          <w:p w14:paraId="0000105C"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Description</w:t>
            </w:r>
          </w:p>
        </w:tc>
        <w:tc>
          <w:tcPr>
            <w:tcW w:w="1739" w:type="dxa"/>
          </w:tcPr>
          <w:p w14:paraId="0000105D"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Frequency</w:t>
            </w:r>
          </w:p>
        </w:tc>
        <w:tc>
          <w:tcPr>
            <w:tcW w:w="1777" w:type="dxa"/>
          </w:tcPr>
          <w:p w14:paraId="0000105E"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Fees AED / INR / SGD / USD</w:t>
            </w:r>
          </w:p>
        </w:tc>
      </w:tr>
      <w:tr w:rsidR="002549F2" w14:paraId="0000105F" w14:textId="77777777">
        <w:trPr>
          <w:trHeight w:val="300"/>
        </w:trPr>
        <w:tc>
          <w:tcPr>
            <w:tcW w:w="1921" w:type="dxa"/>
          </w:tcPr>
          <w:p w14:paraId="00001060"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A</w:t>
            </w:r>
          </w:p>
        </w:tc>
        <w:tc>
          <w:tcPr>
            <w:tcW w:w="1795" w:type="dxa"/>
          </w:tcPr>
          <w:p w14:paraId="00001061"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H3</w:t>
            </w:r>
          </w:p>
        </w:tc>
        <w:tc>
          <w:tcPr>
            <w:tcW w:w="1784" w:type="dxa"/>
          </w:tcPr>
          <w:p w14:paraId="00001062"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Transfer pricing audit — Form 3CEB</w:t>
            </w:r>
          </w:p>
        </w:tc>
        <w:tc>
          <w:tcPr>
            <w:tcW w:w="1739" w:type="dxa"/>
          </w:tcPr>
          <w:p w14:paraId="00001063"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Yearly</w:t>
            </w:r>
          </w:p>
        </w:tc>
        <w:tc>
          <w:tcPr>
            <w:tcW w:w="1777" w:type="dxa"/>
          </w:tcPr>
          <w:p w14:paraId="00001064"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50,000</w:t>
            </w:r>
          </w:p>
        </w:tc>
      </w:tr>
      <w:tr w:rsidR="002549F2" w14:paraId="00001065" w14:textId="77777777">
        <w:trPr>
          <w:trHeight w:val="300"/>
        </w:trPr>
        <w:tc>
          <w:tcPr>
            <w:tcW w:w="1921" w:type="dxa"/>
          </w:tcPr>
          <w:p w14:paraId="00001066"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B</w:t>
            </w:r>
          </w:p>
        </w:tc>
        <w:tc>
          <w:tcPr>
            <w:tcW w:w="1795" w:type="dxa"/>
          </w:tcPr>
          <w:p w14:paraId="00001067"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C2</w:t>
            </w:r>
          </w:p>
        </w:tc>
        <w:tc>
          <w:tcPr>
            <w:tcW w:w="1784" w:type="dxa"/>
          </w:tcPr>
          <w:p w14:paraId="00001068"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TDS/TCS — quarterly returns</w:t>
            </w:r>
          </w:p>
        </w:tc>
        <w:tc>
          <w:tcPr>
            <w:tcW w:w="1739" w:type="dxa"/>
          </w:tcPr>
          <w:p w14:paraId="00001069"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Quarterly</w:t>
            </w:r>
          </w:p>
        </w:tc>
        <w:tc>
          <w:tcPr>
            <w:tcW w:w="1777" w:type="dxa"/>
          </w:tcPr>
          <w:p w14:paraId="0000106A"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25,000</w:t>
            </w:r>
          </w:p>
        </w:tc>
      </w:tr>
    </w:tbl>
    <w:p w14:paraId="0E151E4D" w14:textId="77777777" w:rsidR="002549F2" w:rsidRPr="00D216CD" w:rsidRDefault="002549F2">
      <w:pPr>
        <w:spacing w:after="0" w:line="240" w:lineRule="auto"/>
        <w:rPr>
          <w:rFonts w:ascii="Times New Roman" w:eastAsia="Inter" w:hAnsi="Times New Roman" w:cs="Times New Roman"/>
          <w:b/>
          <w:color w:val="A31134"/>
          <w:sz w:val="22"/>
          <w:szCs w:val="22"/>
        </w:rPr>
      </w:pPr>
    </w:p>
    <w:p w14:paraId="3F8D28A2" w14:textId="6C95BD8D" w:rsidR="002549F2" w:rsidRPr="00D216CD" w:rsidRDefault="00620022" w:rsidP="00D216CD">
      <w:pPr>
        <w:spacing w:after="0" w:line="240" w:lineRule="auto"/>
        <w:rPr>
          <w:rFonts w:ascii="Times New Roman" w:eastAsia="Inter" w:hAnsi="Times New Roman" w:cs="Times New Roman"/>
          <w:b/>
          <w:color w:val="A31134"/>
          <w:sz w:val="22"/>
          <w:szCs w:val="22"/>
        </w:rPr>
      </w:pPr>
      <w:r w:rsidRPr="00D216CD">
        <w:rPr>
          <w:rFonts w:ascii="Times New Roman" w:eastAsia="Inter" w:hAnsi="Times New Roman" w:cs="Times New Roman"/>
          <w:b/>
          <w:color w:val="A31134"/>
          <w:sz w:val="22"/>
          <w:szCs w:val="22"/>
        </w:rPr>
        <w:t>Notes</w:t>
      </w:r>
    </w:p>
    <w:p w14:paraId="5C244E7C" w14:textId="77777777" w:rsidR="00D216CD" w:rsidRPr="00D216CD" w:rsidRDefault="00D216CD" w:rsidP="00D216CD">
      <w:pPr>
        <w:spacing w:after="0" w:line="240" w:lineRule="auto"/>
        <w:rPr>
          <w:rFonts w:ascii="Times New Roman" w:eastAsia="Inter" w:hAnsi="Times New Roman" w:cs="Times New Roman"/>
          <w:b/>
          <w:color w:val="A31134"/>
          <w:sz w:val="22"/>
          <w:szCs w:val="22"/>
        </w:rPr>
      </w:pPr>
    </w:p>
    <w:p w14:paraId="1D80F88D" w14:textId="2F99B9E4" w:rsidR="00D216CD" w:rsidRPr="00D216CD" w:rsidRDefault="00D216CD" w:rsidP="0044502E">
      <w:pPr>
        <w:spacing w:before="240" w:after="240" w:line="240" w:lineRule="auto"/>
        <w:jc w:val="both"/>
        <w:rPr>
          <w:rFonts w:ascii="Times New Roman" w:eastAsia="Inter" w:hAnsi="Times New Roman" w:cs="Times New Roman"/>
          <w:sz w:val="22"/>
          <w:szCs w:val="22"/>
        </w:rPr>
      </w:pPr>
      <w:r w:rsidRPr="00116440">
        <w:rPr>
          <w:rFonts w:ascii="Times New Roman" w:eastAsia="Inter" w:hAnsi="Times New Roman" w:cs="Times New Roman"/>
          <w:b/>
          <w:color w:val="A31134"/>
          <w:sz w:val="22"/>
          <w:szCs w:val="22"/>
        </w:rPr>
        <w:t>Team Deployment</w:t>
      </w:r>
      <w:r w:rsidRPr="00D216CD">
        <w:rPr>
          <w:rFonts w:ascii="Times New Roman" w:eastAsia="Inter" w:hAnsi="Times New Roman" w:cs="Times New Roman"/>
          <w:b/>
          <w:color w:val="000000"/>
          <w:sz w:val="22"/>
          <w:szCs w:val="22"/>
        </w:rPr>
        <w:t>:</w:t>
      </w:r>
      <w:r w:rsidRPr="00D216CD">
        <w:rPr>
          <w:rFonts w:ascii="Times New Roman" w:eastAsia="Inter" w:hAnsi="Times New Roman" w:cs="Times New Roman"/>
          <w:color w:val="000000"/>
          <w:sz w:val="22"/>
          <w:szCs w:val="22"/>
        </w:rPr>
        <w:t xml:space="preserve"> </w:t>
      </w:r>
    </w:p>
    <w:p w14:paraId="53E8FE5E" w14:textId="0F414E5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Article: CA pursuing candidate who has cleared Intermediate Level</w:t>
      </w:r>
    </w:p>
    <w:p w14:paraId="0AAC13B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Analyst: CA (Semi- Qualified) or Accountant with minimum 1 year experience, along with 3 years of articleship exposure</w:t>
      </w:r>
    </w:p>
    <w:p w14:paraId="067C0F79"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Analyst: CA (Semi- Qualified) or Accountant with minimum 2 year experience, along with 3 years of articleship exposure</w:t>
      </w:r>
    </w:p>
    <w:p w14:paraId="606A41D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[semi qualified or with minimum 2 years of accounting and finance experience for day-to-day accounting entries and co-ordination]- Qualified CA fresher (with 3 years articleship) or minimum 4 years experience as finance professional</w:t>
      </w:r>
    </w:p>
    <w:p w14:paraId="676CA76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Associate / AM: Qualified CA with 3 years of relevant post qualification experience in accounting / tax / secretarial compliance]</w:t>
      </w:r>
    </w:p>
    <w:p w14:paraId="4E5DF8A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Assistant Manager: Qualified CA with 4 years of relevant post qualification experience in accounting / tax / secretarial compliance]</w:t>
      </w:r>
    </w:p>
    <w:p w14:paraId="0618CBEE"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Manager: Qualified CA with 5 years of relevant post qualification experience in accounting / tax / secretarial compliance]</w:t>
      </w:r>
    </w:p>
    <w:p w14:paraId="005411DA"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Manager: Qualified CA with 6 years of relevant post qualification experience in accounting / tax / secretarial compliance]</w:t>
      </w:r>
    </w:p>
    <w:p w14:paraId="343D880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Director / Partner [escalation, queries, review meetings, relationship manager]</w:t>
      </w:r>
    </w:p>
    <w:p w14:paraId="255C9BF4" w14:textId="77777777" w:rsidR="002549F2" w:rsidRPr="00D216CD" w:rsidRDefault="002549F2">
      <w:pPr>
        <w:spacing w:after="0" w:line="240" w:lineRule="auto"/>
        <w:rPr>
          <w:rFonts w:ascii="Times New Roman" w:eastAsia="Inter" w:hAnsi="Times New Roman" w:cs="Times New Roman"/>
          <w:sz w:val="22"/>
          <w:szCs w:val="22"/>
        </w:rPr>
      </w:pPr>
    </w:p>
    <w:p w14:paraId="6CD7B5F5" w14:textId="77777777" w:rsidR="002549F2" w:rsidRPr="00D216CD" w:rsidRDefault="00620022">
      <w:pPr>
        <w:spacing w:after="0" w:line="240"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General scope exclusions</w:t>
      </w:r>
      <w:r w:rsidRPr="00D216CD">
        <w:rPr>
          <w:rFonts w:ascii="Times New Roman" w:eastAsia="Inter" w:hAnsi="Times New Roman" w:cs="Times New Roman"/>
          <w:sz w:val="22"/>
          <w:szCs w:val="22"/>
        </w:rPr>
        <w:br/>
        <w:t>The scope of work does not include following-</w:t>
      </w:r>
    </w:p>
    <w:p w14:paraId="2A6C5B6F"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lastRenderedPageBreak/>
        <w:t>Any certification unless otherwise included in the scope</w:t>
      </w:r>
    </w:p>
    <w:p w14:paraId="19FC8CAA"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Drafting / review of legal agreements or customer contracts</w:t>
      </w:r>
    </w:p>
    <w:p w14:paraId="08AD195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Assistance in due diligence in case of funding round</w:t>
      </w:r>
    </w:p>
    <w:p w14:paraId="73B218A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Accounting or any other assistance in case of M&amp;A</w:t>
      </w:r>
    </w:p>
    <w:p w14:paraId="1269077B"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Representation before the tax or other authorities unless otherwise agreed in the scope</w:t>
      </w:r>
    </w:p>
    <w:p w14:paraId="6250A55D"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Anything specifically not mentioned in the scope shall be deemed excluded</w:t>
      </w:r>
    </w:p>
    <w:p w14:paraId="4AE4DD04" w14:textId="77777777" w:rsidR="002549F2" w:rsidRPr="00D216CD" w:rsidRDefault="002549F2">
      <w:pPr>
        <w:spacing w:after="0" w:line="276" w:lineRule="auto"/>
        <w:rPr>
          <w:rFonts w:ascii="Times New Roman" w:eastAsia="Inter" w:hAnsi="Times New Roman" w:cs="Times New Roman"/>
          <w:sz w:val="22"/>
          <w:szCs w:val="22"/>
        </w:rPr>
      </w:pPr>
    </w:p>
    <w:p w14:paraId="48FFC270" w14:textId="77777777" w:rsidR="002549F2" w:rsidRPr="00D216CD" w:rsidRDefault="00620022">
      <w:pPr>
        <w:spacing w:after="0" w:line="276"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Commercials</w:t>
      </w:r>
    </w:p>
    <w:p w14:paraId="0000106B"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All fees are exclusive of GST as applicable.</w:t>
      </w:r>
    </w:p>
    <w:p w14:paraId="0000106C" w14:textId="77777777" w:rsidR="002549F2" w:rsidRDefault="002549F2">
      <w:pPr>
        <w:spacing w:before="80" w:after="4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Government fee and out of pocket expenses shall be reimbursed on actual basis</w:t>
      </w:r>
    </w:p>
    <w:sectPr w:rsidR="002549F2" w:rsidRPr="00D216CD">
      <w:headerReference w:type="default" r:id="rId9"/>
      <w:footerReference w:type="first" r:id="rId10"/>
      <w:pgSz w:w="11906" w:h="16838"/>
      <w:pgMar w:top="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