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AA"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2026-05-15</w:t>
      </w:r>
    </w:p>
    <w:p w14:paraId="0000139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396"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Nexus Fintech</w:t>
      </w:r>
    </w:p>
    <w:p w14:paraId="00001397"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Nexus Fintech - Financial Year 26-27</w:t>
      </w:r>
    </w:p>
    <w:p w14:paraId="0000139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Nexus,</w:t>
      </w:r>
    </w:p>
    <w:p w14:paraId="0000139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9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9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9C"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39D"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39E"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39F"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3A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3A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3A2"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3A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Nexus</w:t>
      </w:r>
    </w:p>
    <w:p w14:paraId="000013A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3A5"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3A6"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3A7"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3A8"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3A9"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p w14:paraId="000013A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BACKGROUND</w:t>
      </w:r>
    </w:p>
    <w:p w14:paraId="000013A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AD"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Nexus Fintech is a leading company that provides quality services and solutions to its clients.</w:t>
      </w:r>
    </w:p>
    <w:p w14:paraId="000013AE"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AF"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In-scope processes / services</w:t>
      </w:r>
    </w:p>
    <w:p w14:paraId="000013B0"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B1"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A. Transfer pricing audit — Form 3CEB</w:t>
      </w:r>
    </w:p>
    <w:p w14:paraId="000013B2"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B. TDS/TCS — quarterly returns</w:t>
      </w:r>
    </w:p>
    <w:p w14:paraId="000013B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B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A. Financial Reporting &amp; Compliance</w:t>
      </w:r>
    </w:p>
    <w:p w14:paraId="000013B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B6"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3B7"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H3. Transfer pricing audit — Form 3CEB</w:t>
      </w:r>
    </w:p>
    <w:p w14:paraId="000013B8"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H3: INR 50,000 Yearly</w:t>
      </w:r>
    </w:p>
    <w:p w14:paraId="000013B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B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B. Transactions &amp; Regulatory Compliance</w:t>
      </w:r>
    </w:p>
    <w:p w14:paraId="000013B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BC"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10x's Responsibilities:</w:t>
      </w:r>
    </w:p>
    <w:p w14:paraId="000013BD"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C2. TDS/TCS — quarterly returns</w:t>
      </w:r>
    </w:p>
    <w:p w14:paraId="000013BE"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b/>
          <w:color w:val="000000" w:themeColor="text1"/>
          <w:sz w:val="22"/>
          <w:szCs w:val="22"/>
        </w:rPr>
        <w:t>Fees</w:t>
      </w:r>
      <w:r>
        <w:rPr>
          <w:rFonts w:ascii="Times New Roman" w:eastAsia="Inter" w:hAnsi="Times New Roman" w:cs="Times New Roman"/>
          <w:sz w:val="22"/>
          <w:szCs w:val="22"/>
        </w:rPr>
        <w:t xml:space="preserve"> C2: INR 25,000 Quarterly</w:t>
      </w:r>
    </w:p>
    <w:p w14:paraId="000013B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C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Summary of Fees</w:t>
      </w:r>
    </w:p>
    <w:p w14:paraId="000013C1" w14:textId="77777777" w:rsidR="002549F2" w:rsidRDefault="002549F2">
      <w:pPr>
        <w:spacing w:before="40" w:after="40" w:line="220" w:lineRule="auto"/>
      </w:pPr>
      <w:r>
        <w:rPr>
          <w:rFonts w:ascii="Times New Roman" w:eastAsia="Inter" w:hAnsi="Times New Roman" w:cs="Times New Roman"/>
          <w:sz w:val="22"/>
          <w:szCs w:val="22"/>
        </w:rPr>
        <w:t xml:space="preserve"> </w:t>
      </w:r>
    </w:p>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795"/>
        <w:gridCol w:w="1784"/>
        <w:gridCol w:w="1739"/>
        <w:gridCol w:w="1777"/>
      </w:tblGrid>
      <w:tr w:rsidR="002549F2" w14:paraId="000013C2" w14:textId="77777777">
        <w:trPr>
          <w:cantSplit/>
          <w:trHeight w:val="299"/>
        </w:trPr>
        <w:tc>
          <w:tcPr>
            <w:tcW w:w="1921" w:type="dxa"/>
          </w:tcPr>
          <w:p w14:paraId="000013C3"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Section</w:t>
            </w:r>
          </w:p>
        </w:tc>
        <w:tc>
          <w:tcPr>
            <w:tcW w:w="1795" w:type="dxa"/>
          </w:tcPr>
          <w:p w14:paraId="000013C4"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Sub Section</w:t>
            </w:r>
          </w:p>
        </w:tc>
        <w:tc>
          <w:tcPr>
            <w:tcW w:w="1784" w:type="dxa"/>
          </w:tcPr>
          <w:p w14:paraId="000013C5"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Description</w:t>
            </w:r>
          </w:p>
        </w:tc>
        <w:tc>
          <w:tcPr>
            <w:tcW w:w="1739" w:type="dxa"/>
          </w:tcPr>
          <w:p w14:paraId="000013C6"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Frequency</w:t>
            </w:r>
          </w:p>
        </w:tc>
        <w:tc>
          <w:tcPr>
            <w:tcW w:w="1777" w:type="dxa"/>
          </w:tcPr>
          <w:p w14:paraId="000013C7" w14:textId="77777777" w:rsidR="002549F2" w:rsidRDefault="00D216CD">
            <w:pPr>
              <w:rPr>
                <w:rFonts w:ascii="Times New Roman" w:eastAsia="Inter" w:hAnsi="Times New Roman" w:cs="Times New Roman"/>
                <w:i/>
                <w:sz w:val="22"/>
                <w:szCs w:val="22"/>
              </w:rPr>
            </w:pPr>
            <w:r>
              <w:rPr>
                <w:rFonts w:ascii="Times New Roman" w:eastAsia="Inter" w:hAnsi="Times New Roman" w:cs="Times New Roman"/>
                <w:i/>
                <w:sz w:val="22"/>
                <w:szCs w:val="22"/>
              </w:rPr>
              <w:t>Fees AED / INR / SGD / USD</w:t>
            </w:r>
          </w:p>
        </w:tc>
      </w:tr>
      <w:tr w:rsidR="002549F2" w14:paraId="000013C8" w14:textId="77777777">
        <w:trPr>
          <w:trHeight w:val="300"/>
        </w:trPr>
        <w:tc>
          <w:tcPr>
            <w:tcW w:w="1921" w:type="dxa"/>
          </w:tcPr>
          <w:p w14:paraId="000013C9"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A</w:t>
            </w:r>
          </w:p>
        </w:tc>
        <w:tc>
          <w:tcPr>
            <w:tcW w:w="1795" w:type="dxa"/>
          </w:tcPr>
          <w:p w14:paraId="000013CA"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H3</w:t>
            </w:r>
          </w:p>
        </w:tc>
        <w:tc>
          <w:tcPr>
            <w:tcW w:w="1784" w:type="dxa"/>
          </w:tcPr>
          <w:p w14:paraId="000013CB"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Transfer pricing audit — Form 3CEB</w:t>
            </w:r>
          </w:p>
        </w:tc>
        <w:tc>
          <w:tcPr>
            <w:tcW w:w="1739" w:type="dxa"/>
          </w:tcPr>
          <w:p w14:paraId="000013CC"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Yearly</w:t>
            </w:r>
          </w:p>
        </w:tc>
        <w:tc>
          <w:tcPr>
            <w:tcW w:w="1777" w:type="dxa"/>
          </w:tcPr>
          <w:p w14:paraId="000013CD"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50,000</w:t>
            </w:r>
          </w:p>
        </w:tc>
      </w:tr>
      <w:tr w:rsidR="002549F2" w14:paraId="000013CE" w14:textId="77777777">
        <w:trPr>
          <w:trHeight w:val="300"/>
        </w:trPr>
        <w:tc>
          <w:tcPr>
            <w:tcW w:w="1921" w:type="dxa"/>
          </w:tcPr>
          <w:p w14:paraId="000013CF"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B</w:t>
            </w:r>
          </w:p>
        </w:tc>
        <w:tc>
          <w:tcPr>
            <w:tcW w:w="1795" w:type="dxa"/>
          </w:tcPr>
          <w:p w14:paraId="000013D0"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C2</w:t>
            </w:r>
          </w:p>
        </w:tc>
        <w:tc>
          <w:tcPr>
            <w:tcW w:w="1784" w:type="dxa"/>
          </w:tcPr>
          <w:p w14:paraId="000013D1"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TDS/TCS — quarterly returns</w:t>
            </w:r>
          </w:p>
        </w:tc>
        <w:tc>
          <w:tcPr>
            <w:tcW w:w="1739" w:type="dxa"/>
          </w:tcPr>
          <w:p w14:paraId="000013D2"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Quarterly</w:t>
            </w:r>
          </w:p>
        </w:tc>
        <w:tc>
          <w:tcPr>
            <w:tcW w:w="1777" w:type="dxa"/>
          </w:tcPr>
          <w:p w14:paraId="000013D3" w14:textId="77777777" w:rsidR="002549F2" w:rsidRDefault="00D216CD">
            <w:pPr>
              <w:rPr>
                <w:rFonts w:ascii="Times New Roman" w:eastAsia="Inter" w:hAnsi="Times New Roman" w:cs="Times New Roman"/>
                <w:sz w:val="22"/>
                <w:szCs w:val="22"/>
              </w:rPr>
            </w:pPr>
            <w:r>
              <w:rPr>
                <w:rFonts w:ascii="Times New Roman" w:eastAsia="Inter" w:hAnsi="Times New Roman" w:cs="Times New Roman"/>
                <w:sz w:val="22"/>
                <w:szCs w:val="22"/>
              </w:rPr>
              <w:t>INR 25,000</w:t>
            </w:r>
          </w:p>
        </w:tc>
      </w:tr>
    </w:tbl>
    <w:p w14:paraId="0E151E4D" w14:textId="77777777" w:rsidR="002549F2" w:rsidRPr="00D216CD" w:rsidRDefault="002549F2">
      <w:pPr>
        <w:spacing w:after="0" w:line="240" w:lineRule="auto"/>
        <w:rPr>
          <w:rFonts w:ascii="Times New Roman" w:eastAsia="Inter" w:hAnsi="Times New Roman" w:cs="Times New Roman"/>
          <w:b/>
          <w:color w:val="A31134"/>
          <w:sz w:val="22"/>
          <w:szCs w:val="22"/>
        </w:rPr>
      </w:pPr>
    </w:p>
    <w:p w14:paraId="3F8D28A2" w14:textId="6C95BD8D" w:rsidR="002549F2" w:rsidRPr="00D216CD" w:rsidRDefault="00620022" w:rsidP="00D216CD">
      <w:pPr>
        <w:spacing w:after="0" w:line="240" w:lineRule="auto"/>
        <w:rPr>
          <w:rFonts w:ascii="Times New Roman" w:eastAsia="Inter" w:hAnsi="Times New Roman" w:cs="Times New Roman"/>
          <w:b/>
          <w:color w:val="A31134"/>
          <w:sz w:val="22"/>
          <w:szCs w:val="22"/>
        </w:rPr>
      </w:pPr>
      <w:r w:rsidRPr="00D216CD">
        <w:rPr>
          <w:rFonts w:ascii="Times New Roman" w:eastAsia="Inter" w:hAnsi="Times New Roman" w:cs="Times New Roman"/>
          <w:b/>
          <w:color w:val="A31134"/>
          <w:sz w:val="22"/>
          <w:szCs w:val="22"/>
        </w:rPr>
        <w:t>Notes</w:t>
      </w:r>
    </w:p>
    <w:p w14:paraId="5C244E7C" w14:textId="77777777" w:rsidR="00D216CD" w:rsidRPr="00D216CD" w:rsidRDefault="00D216CD" w:rsidP="00D216CD">
      <w:pPr>
        <w:spacing w:after="0" w:line="240" w:lineRule="auto"/>
        <w:rPr>
          <w:rFonts w:ascii="Times New Roman" w:eastAsia="Inter" w:hAnsi="Times New Roman" w:cs="Times New Roman"/>
          <w:b/>
          <w:color w:val="A31134"/>
          <w:sz w:val="22"/>
          <w:szCs w:val="22"/>
        </w:rPr>
      </w:pPr>
    </w:p>
    <w:p w14:paraId="1D80F88D" w14:textId="2F99B9E4" w:rsidR="00D216CD" w:rsidRPr="00D216CD" w:rsidRDefault="00D216CD" w:rsidP="0044502E">
      <w:pPr>
        <w:spacing w:before="240" w:after="240" w:line="240" w:lineRule="auto"/>
        <w:jc w:val="both"/>
        <w:rPr>
          <w:rFonts w:ascii="Times New Roman" w:eastAsia="Inter" w:hAnsi="Times New Roman" w:cs="Times New Roman"/>
          <w:sz w:val="22"/>
          <w:szCs w:val="22"/>
        </w:rPr>
      </w:pPr>
      <w:r w:rsidRPr="00116440">
        <w:rPr>
          <w:rFonts w:ascii="Times New Roman" w:eastAsia="Inter" w:hAnsi="Times New Roman" w:cs="Times New Roman"/>
          <w:b/>
          <w:color w:val="A31134"/>
          <w:sz w:val="22"/>
          <w:szCs w:val="22"/>
        </w:rPr>
        <w:t>Team Deployment</w:t>
      </w:r>
      <w:r w:rsidRPr="00D216CD">
        <w:rPr>
          <w:rFonts w:ascii="Times New Roman" w:eastAsia="Inter" w:hAnsi="Times New Roman" w:cs="Times New Roman"/>
          <w:b/>
          <w:color w:val="000000"/>
          <w:sz w:val="22"/>
          <w:szCs w:val="22"/>
        </w:rPr>
        <w:t>:</w:t>
      </w:r>
      <w:r w:rsidRPr="00D216CD">
        <w:rPr>
          <w:rFonts w:ascii="Times New Roman" w:eastAsia="Inter" w:hAnsi="Times New Roman" w:cs="Times New Roman"/>
          <w:color w:val="000000"/>
          <w:sz w:val="22"/>
          <w:szCs w:val="22"/>
        </w:rPr>
        <w:t xml:space="preserve"> </w:t>
      </w:r>
    </w:p>
    <w:p w14:paraId="53E8FE5E" w14:textId="0F414E5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Article: CA pursuing candidate who has cleared Intermediate Level</w:t>
      </w:r>
    </w:p>
    <w:p w14:paraId="0AAC13B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Analyst: CA (Semi- Qualified) or Accountant with minimum 1 year experience, along with 3 years of articleship exposure</w:t>
      </w:r>
    </w:p>
    <w:p w14:paraId="067C0F79"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Analyst: CA (Semi- Qualified) or Accountant with minimum 2 year experience, along with 3 years of articleship exposure</w:t>
      </w:r>
    </w:p>
    <w:p w14:paraId="606A41D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[semi qualified or with minimum 2 years of accounting and finance experience for day-to-day accounting entries and co-ordination]- Qualified CA fresher (with 3 years articleship) or minimum 4 years experience as finance professional</w:t>
      </w:r>
    </w:p>
    <w:p w14:paraId="676CA76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Associate / AM: Qualified CA with 3 years of relevant post qualification experience in accounting / tax / secretarial compliance]</w:t>
      </w:r>
    </w:p>
    <w:p w14:paraId="4E5DF8A6"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Assistant Manager: Qualified CA with 4 years of relevant post qualification experience in accounting / tax / secretarial compliance]</w:t>
      </w:r>
    </w:p>
    <w:p w14:paraId="0618CBEE"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Manager: Qualified CA with 5 years of relevant post qualification experience in accounting / tax / secretarial compliance]</w:t>
      </w:r>
    </w:p>
    <w:p w14:paraId="005411DA"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Senior Manager: Qualified CA with 6 years of relevant post qualification experience in accounting / tax / secretarial compliance]</w:t>
      </w:r>
    </w:p>
    <w:p w14:paraId="343D8800" w14:textId="77777777" w:rsidR="00D216CD" w:rsidRPr="00EC64A9" w:rsidRDefault="00D216CD" w:rsidP="00EC64A9">
      <w:pPr>
        <w:pStyle w:val="ListParagraph"/>
        <w:numPr>
          <w:ilvl w:val="0"/>
          <w:numId w:val="11"/>
        </w:numPr>
        <w:pBdr>
          <w:top w:val="nil"/>
          <w:left w:val="nil"/>
          <w:bottom w:val="nil"/>
          <w:right w:val="nil"/>
          <w:between w:val="nil"/>
        </w:pBdr>
        <w:spacing w:before="240" w:after="24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Associate Director / Partner [escalation, queries, review meetings, relationship manager]</w:t>
      </w:r>
    </w:p>
    <w:p w14:paraId="255C9BF4" w14:textId="77777777" w:rsidR="002549F2" w:rsidRPr="00D216CD" w:rsidRDefault="002549F2">
      <w:pPr>
        <w:spacing w:after="0" w:line="240" w:lineRule="auto"/>
        <w:rPr>
          <w:rFonts w:ascii="Times New Roman" w:eastAsia="Inter" w:hAnsi="Times New Roman" w:cs="Times New Roman"/>
          <w:sz w:val="22"/>
          <w:szCs w:val="22"/>
        </w:rPr>
      </w:pPr>
    </w:p>
    <w:p w14:paraId="6CD7B5F5" w14:textId="77777777" w:rsidR="002549F2" w:rsidRPr="00D216CD" w:rsidRDefault="00620022">
      <w:pPr>
        <w:spacing w:after="0" w:line="240"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General scope exclusions</w:t>
      </w:r>
      <w:r w:rsidRPr="00D216CD">
        <w:rPr>
          <w:rFonts w:ascii="Times New Roman" w:eastAsia="Inter" w:hAnsi="Times New Roman" w:cs="Times New Roman"/>
          <w:sz w:val="22"/>
          <w:szCs w:val="22"/>
        </w:rPr>
        <w:br/>
        <w:t>The scope of work does not include following-</w:t>
      </w:r>
    </w:p>
    <w:p w14:paraId="2A6C5B6F"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lastRenderedPageBreak/>
        <w:t>Any certification unless otherwise included in the scope</w:t>
      </w:r>
    </w:p>
    <w:p w14:paraId="19FC8CAA"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Drafting / review of legal agreements or customer contracts</w:t>
      </w:r>
    </w:p>
    <w:p w14:paraId="08AD195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Assistance in due diligence in case of funding round</w:t>
      </w:r>
    </w:p>
    <w:p w14:paraId="73B218A9"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Accounting or any other assistance in case of M&amp;A</w:t>
      </w:r>
    </w:p>
    <w:p w14:paraId="1269077B"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Representation before the tax or other authorities unless otherwise agreed in the scope</w:t>
      </w:r>
    </w:p>
    <w:p w14:paraId="6250A55D" w14:textId="77777777" w:rsidR="002549F2" w:rsidRPr="00D216CD" w:rsidRDefault="00620022">
      <w:pPr>
        <w:numPr>
          <w:ilvl w:val="0"/>
          <w:numId w:val="1"/>
        </w:numPr>
        <w:pBdr>
          <w:top w:val="nil"/>
          <w:left w:val="nil"/>
          <w:bottom w:val="nil"/>
          <w:right w:val="nil"/>
          <w:between w:val="nil"/>
        </w:pBdr>
        <w:spacing w:after="0" w:line="300" w:lineRule="auto"/>
        <w:jc w:val="both"/>
        <w:rPr>
          <w:rFonts w:ascii="Times New Roman" w:eastAsia="Inter" w:hAnsi="Times New Roman" w:cs="Times New Roman"/>
          <w:color w:val="000000"/>
          <w:sz w:val="22"/>
          <w:szCs w:val="22"/>
        </w:rPr>
      </w:pPr>
      <w:r w:rsidRPr="00D216CD">
        <w:rPr>
          <w:rFonts w:ascii="Times New Roman" w:eastAsia="Inter" w:hAnsi="Times New Roman" w:cs="Times New Roman"/>
          <w:color w:val="000000"/>
          <w:sz w:val="22"/>
          <w:szCs w:val="22"/>
        </w:rPr>
        <w:t>Anything specifically not mentioned in the scope shall be deemed excluded</w:t>
      </w:r>
    </w:p>
    <w:p w14:paraId="4AE4DD04" w14:textId="77777777" w:rsidR="002549F2" w:rsidRPr="00D216CD" w:rsidRDefault="002549F2">
      <w:pPr>
        <w:spacing w:after="0" w:line="276" w:lineRule="auto"/>
        <w:rPr>
          <w:rFonts w:ascii="Times New Roman" w:eastAsia="Inter" w:hAnsi="Times New Roman" w:cs="Times New Roman"/>
          <w:sz w:val="22"/>
          <w:szCs w:val="22"/>
        </w:rPr>
      </w:pPr>
    </w:p>
    <w:p w14:paraId="48FFC270" w14:textId="77777777" w:rsidR="002549F2" w:rsidRPr="00D216CD" w:rsidRDefault="00620022">
      <w:pPr>
        <w:spacing w:after="0" w:line="276" w:lineRule="auto"/>
        <w:rPr>
          <w:rFonts w:ascii="Times New Roman" w:eastAsia="Inter" w:hAnsi="Times New Roman" w:cs="Times New Roman"/>
          <w:sz w:val="22"/>
          <w:szCs w:val="22"/>
        </w:rPr>
      </w:pPr>
      <w:r w:rsidRPr="00D216CD">
        <w:rPr>
          <w:rFonts w:ascii="Times New Roman" w:eastAsia="Inter" w:hAnsi="Times New Roman" w:cs="Times New Roman"/>
          <w:b/>
          <w:color w:val="A31134"/>
          <w:sz w:val="22"/>
          <w:szCs w:val="22"/>
        </w:rPr>
        <w:t>Commercials</w:t>
      </w:r>
    </w:p>
    <w:p w14:paraId="000013D4" w14:textId="77777777" w:rsidR="002549F2" w:rsidRDefault="002549F2">
      <w:pPr>
        <w:spacing w:before="80" w:after="8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All fees are exclusive of GST as applicable.</w:t>
      </w:r>
    </w:p>
    <w:p w14:paraId="000013D5" w14:textId="77777777" w:rsidR="002549F2" w:rsidRDefault="002549F2">
      <w:pPr>
        <w:spacing w:before="80" w:after="40" w:line="260"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 Government fee and out of pocket expenses shall be reimbursed on actual basis</w:t>
      </w:r>
    </w:p>
    <w:sectPr w:rsidR="002549F2" w:rsidRPr="00D216CD">
      <w:headerReference w:type="default" r:id="rId9"/>
      <w:footerReference w:type="first" r:id="rId10"/>
      <w:pgSz w:w="11906" w:h="16838"/>
      <w:pgMar w:top="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