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1B0" w14:textId="77777777" w:rsidR="002549F2" w:rsidRDefault="002549F2">
      <w:pPr>
        <w:spacing w:before="40" w:after="60" w:line="276" w:lineRule="auto"/>
        <w:jc w:val="right"/>
        <w:rPr>
          <w:rFonts w:ascii="Inter" w:eastAsia="Inter" w:hAnsi="Inter" w:cs="Inter"/>
          <w:sz w:val="22"/>
          <w:szCs w:val="22"/>
        </w:rPr>
      </w:pPr>
      <w:r>
        <w:rPr>
          <w:rFonts w:ascii="Inter" w:eastAsia="Inter" w:hAnsi="Inter" w:cs="Inter"/>
          <w:sz w:val="22"/>
          <w:szCs w:val="22"/>
        </w:rPr>
        <w:t xml:space="preserve">Date 2026-05-14</w:t>
      </w:r>
    </w:p>
    <w:p w14:paraId="0000119B"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Nexus Fintech</w:t>
      </w:r>
    </w:p>
    <w:p w14:paraId="0000119C"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Nexus Fintech</w:t>
      </w:r>
    </w:p>
    <w:p w14:paraId="0000119D"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Sub: Engagement Letter for Nexus Fintech - Financial Year 26-27</w:t>
      </w:r>
    </w:p>
    <w:p w14:paraId="0000119E"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Hi Nexus,</w:t>
      </w:r>
    </w:p>
    <w:p w14:paraId="0000119F"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This Engagement Letter (“Agreement”) confirms that Nexus Fintech (referred to as ‘Nexus’),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1A0"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1A1"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1A2"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Yours sincerely,</w:t>
      </w:r>
    </w:p>
    <w:p w14:paraId="000011A3"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______________________________________________</w:t>
      </w:r>
    </w:p>
    <w:p w14:paraId="000011A4"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Siddharth Kohli</w:t>
      </w:r>
    </w:p>
    <w:p w14:paraId="000011A5"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CEO / Founder</w:t>
      </w:r>
    </w:p>
    <w:p w14:paraId="000011A6"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Email : </w:t>
      </w:r>
      <w:r>
        <w:rPr>
          <w:rFonts w:ascii="Inter" w:eastAsia="Inter" w:hAnsi="Inter" w:cs="Inter"/>
          <w:color w:val="0563C1"/>
          <w:u w:val="single"/>
          <w:sz w:val="22"/>
          <w:szCs w:val="22"/>
        </w:rPr>
        <w:t xml:space="preserve">siddharth@10xglobal.in</w:t>
      </w:r>
    </w:p>
    <w:p w14:paraId="000011A7"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Phone : —</w:t>
      </w:r>
    </w:p>
    <w:p w14:paraId="000011A8"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b/>
          <w:sz w:val="22"/>
          <w:szCs w:val="22"/>
        </w:rPr>
        <w:t xml:space="preserve">Acceptance</w:t>
      </w:r>
    </w:p>
    <w:p w14:paraId="000011A9"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The scope of the Services is sufficient for our purposes and the terms of this engagement are accepted on behalf of Nexus</w:t>
      </w:r>
    </w:p>
    <w:p w14:paraId="000011AA"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________________________________________________________________________________________</w:t>
      </w:r>
    </w:p>
    <w:p w14:paraId="000011AB"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b/>
          <w:sz w:val="22"/>
          <w:szCs w:val="22"/>
        </w:rPr>
        <w:t xml:space="preserve">Authorized signatory</w:t>
      </w:r>
    </w:p>
    <w:p w14:paraId="000011AC"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b/>
          <w:sz w:val="22"/>
          <w:szCs w:val="22"/>
        </w:rPr>
        <w:t xml:space="preserve">10X Global Pvt Ltd</w:t>
      </w:r>
    </w:p>
    <w:p w14:paraId="000011AD"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color w:val="666666"/>
          <w:sz w:val="20"/>
          <w:szCs w:val="20"/>
        </w:rPr>
        <w:t xml:space="preserve">2/6, 2nd floor, West Patel Nagar, New Delhi 110008 India</w:t>
      </w:r>
    </w:p>
    <w:p w14:paraId="000011AE"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color w:val="666666"/>
          <w:sz w:val="20"/>
          <w:szCs w:val="20"/>
        </w:rPr>
        <w:t xml:space="preserve">www.10x.global | info@10x.global</w:t>
      </w:r>
    </w:p>
    <w:p w14:paraId="000011AF"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br w:type="page"/>
      </w:r>
    </w:p>
    <w:p w14:paraId="000011B1"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BACKGROUND</w:t>
      </w:r>
    </w:p>
    <w:p w14:paraId="000011B2"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1B3"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Nexus Fintech is a leading company that provides quality services and solutions to its clients.</w:t>
      </w:r>
    </w:p>
    <w:p w14:paraId="000011B4"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1B5"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In-scope processes / services</w:t>
      </w:r>
    </w:p>
    <w:p w14:paraId="000011B6"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1B7"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A. Transfer pricing audit — Form 3CEB</w:t>
      </w:r>
    </w:p>
    <w:p w14:paraId="000011B8"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B. TDS/TCS — quarterly returns</w:t>
      </w:r>
    </w:p>
    <w:p w14:paraId="000011B9"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1BA"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A. Financial Reporting &amp; Compliance</w:t>
      </w:r>
    </w:p>
    <w:p w14:paraId="000011BB"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1BC"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b/>
          <w:color w:val="000000" w:themeColor="text1"/>
          <w:sz w:val="22"/>
          <w:szCs w:val="22"/>
        </w:rPr>
        <w:t>10x's Responsibilities:</w:t>
      </w:r>
    </w:p>
    <w:p w14:paraId="000011BD"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b/>
          <w:color w:val="000000" w:themeColor="text1"/>
          <w:sz w:val="22"/>
          <w:szCs w:val="22"/>
        </w:rPr>
        <w:t>H3. Transfer pricing audit — Form 3CEB</w:t>
      </w:r>
    </w:p>
    <w:p w14:paraId="000011BE"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b/>
          <w:color w:val="000000" w:themeColor="text1"/>
          <w:sz w:val="22"/>
          <w:szCs w:val="22"/>
        </w:rPr>
        <w:t>Fees</w:t>
      </w:r>
      <w:r>
        <w:rPr>
          <w:rFonts w:ascii="Times New Roman" w:eastAsia="Inter" w:hAnsi="Times New Roman" w:cs="Times New Roman"/>
          <w:sz w:val="22"/>
          <w:szCs w:val="22"/>
        </w:rPr>
        <w:t xml:space="preserve"> H3: INR 50,000 Yearly</w:t>
      </w:r>
    </w:p>
    <w:p w14:paraId="000011BF"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1C0"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B. Transactions &amp; Regulatory Compliance</w:t>
      </w:r>
    </w:p>
    <w:p w14:paraId="000011C1"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1C2"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b/>
          <w:color w:val="000000" w:themeColor="text1"/>
          <w:sz w:val="22"/>
          <w:szCs w:val="22"/>
        </w:rPr>
        <w:t>10x's Responsibilities:</w:t>
      </w:r>
    </w:p>
    <w:p w14:paraId="000011C3"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b/>
          <w:color w:val="000000" w:themeColor="text1"/>
          <w:sz w:val="22"/>
          <w:szCs w:val="22"/>
        </w:rPr>
        <w:t>C2. TDS/TCS — quarterly returns</w:t>
      </w:r>
    </w:p>
    <w:p w14:paraId="000011C4"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b/>
          <w:color w:val="000000" w:themeColor="text1"/>
          <w:sz w:val="22"/>
          <w:szCs w:val="22"/>
        </w:rPr>
        <w:t>Fees</w:t>
      </w:r>
      <w:r>
        <w:rPr>
          <w:rFonts w:ascii="Times New Roman" w:eastAsia="Inter" w:hAnsi="Times New Roman" w:cs="Times New Roman"/>
          <w:sz w:val="22"/>
          <w:szCs w:val="22"/>
        </w:rPr>
        <w:t xml:space="preserve"> C2: INR 25,000 Quarterly</w:t>
      </w:r>
    </w:p>
    <w:p w14:paraId="000011C5"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1C6"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Summary of Fees</w:t>
      </w:r>
    </w:p>
    <w:p w14:paraId="000011C7" w14:textId="77777777" w:rsidR="002549F2" w:rsidRDefault="002549F2">
      <w:pPr>
        <w:spacing w:before="40" w:after="40" w:line="220" w:lineRule="auto"/>
      </w:pPr>
      <w:r>
        <w:rPr>
          <w:rFonts w:ascii="Times New Roman" w:eastAsia="Inter" w:hAnsi="Times New Roman" w:cs="Times New Roman"/>
          <w:sz w:val="22"/>
          <w:szCs w:val="22"/>
        </w:rPr>
        <w:t xml:space="preserve"> </w:t>
      </w:r>
    </w:p>
    <w:tbl>
      <w:tblPr>
        <w:tblStyle w:val="af1"/>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21"/>
        <w:gridCol w:w="1795"/>
        <w:gridCol w:w="1784"/>
        <w:gridCol w:w="1739"/>
        <w:gridCol w:w="1777"/>
      </w:tblGrid>
      <w:tr w:rsidR="002549F2" w14:paraId="000011C8" w14:textId="77777777">
        <w:trPr>
          <w:cantSplit/>
          <w:trHeight w:val="299"/>
        </w:trPr>
        <w:tc>
          <w:tcPr>
            <w:tcW w:w="1921" w:type="dxa"/>
          </w:tcPr>
          <w:p w14:paraId="000011C9" w14:textId="77777777" w:rsidR="002549F2" w:rsidRDefault="00D216CD">
            <w:pPr>
              <w:rPr>
                <w:rFonts w:ascii="Times New Roman" w:eastAsia="Inter" w:hAnsi="Times New Roman" w:cs="Times New Roman"/>
                <w:i/>
                <w:sz w:val="22"/>
                <w:szCs w:val="22"/>
              </w:rPr>
            </w:pPr>
            <w:r>
              <w:rPr>
                <w:rFonts w:ascii="Times New Roman" w:eastAsia="Inter" w:hAnsi="Times New Roman" w:cs="Times New Roman"/>
                <w:i/>
                <w:sz w:val="22"/>
                <w:szCs w:val="22"/>
              </w:rPr>
              <w:t>Section</w:t>
            </w:r>
          </w:p>
        </w:tc>
        <w:tc>
          <w:tcPr>
            <w:tcW w:w="1795" w:type="dxa"/>
          </w:tcPr>
          <w:p w14:paraId="000011CA" w14:textId="77777777" w:rsidR="002549F2" w:rsidRDefault="00D216CD">
            <w:pPr>
              <w:rPr>
                <w:rFonts w:ascii="Times New Roman" w:eastAsia="Inter" w:hAnsi="Times New Roman" w:cs="Times New Roman"/>
                <w:i/>
                <w:sz w:val="22"/>
                <w:szCs w:val="22"/>
              </w:rPr>
            </w:pPr>
            <w:r>
              <w:rPr>
                <w:rFonts w:ascii="Times New Roman" w:eastAsia="Inter" w:hAnsi="Times New Roman" w:cs="Times New Roman"/>
                <w:i/>
                <w:sz w:val="22"/>
                <w:szCs w:val="22"/>
              </w:rPr>
              <w:t>Sub Section</w:t>
            </w:r>
          </w:p>
        </w:tc>
        <w:tc>
          <w:tcPr>
            <w:tcW w:w="1784" w:type="dxa"/>
          </w:tcPr>
          <w:p w14:paraId="000011CB" w14:textId="77777777" w:rsidR="002549F2" w:rsidRDefault="00D216CD">
            <w:pPr>
              <w:rPr>
                <w:rFonts w:ascii="Times New Roman" w:eastAsia="Inter" w:hAnsi="Times New Roman" w:cs="Times New Roman"/>
                <w:i/>
                <w:sz w:val="22"/>
                <w:szCs w:val="22"/>
              </w:rPr>
            </w:pPr>
            <w:r>
              <w:rPr>
                <w:rFonts w:ascii="Times New Roman" w:eastAsia="Inter" w:hAnsi="Times New Roman" w:cs="Times New Roman"/>
                <w:i/>
                <w:sz w:val="22"/>
                <w:szCs w:val="22"/>
              </w:rPr>
              <w:t>Description</w:t>
            </w:r>
          </w:p>
        </w:tc>
        <w:tc>
          <w:tcPr>
            <w:tcW w:w="1739" w:type="dxa"/>
          </w:tcPr>
          <w:p w14:paraId="000011CC" w14:textId="77777777" w:rsidR="002549F2" w:rsidRDefault="00D216CD">
            <w:pPr>
              <w:rPr>
                <w:rFonts w:ascii="Times New Roman" w:eastAsia="Inter" w:hAnsi="Times New Roman" w:cs="Times New Roman"/>
                <w:i/>
                <w:sz w:val="22"/>
                <w:szCs w:val="22"/>
              </w:rPr>
            </w:pPr>
            <w:r>
              <w:rPr>
                <w:rFonts w:ascii="Times New Roman" w:eastAsia="Inter" w:hAnsi="Times New Roman" w:cs="Times New Roman"/>
                <w:i/>
                <w:sz w:val="22"/>
                <w:szCs w:val="22"/>
              </w:rPr>
              <w:t>Frequency</w:t>
            </w:r>
          </w:p>
        </w:tc>
        <w:tc>
          <w:tcPr>
            <w:tcW w:w="1777" w:type="dxa"/>
          </w:tcPr>
          <w:p w14:paraId="000011CD" w14:textId="77777777" w:rsidR="002549F2" w:rsidRDefault="00D216CD">
            <w:pPr>
              <w:rPr>
                <w:rFonts w:ascii="Times New Roman" w:eastAsia="Inter" w:hAnsi="Times New Roman" w:cs="Times New Roman"/>
                <w:i/>
                <w:sz w:val="22"/>
                <w:szCs w:val="22"/>
              </w:rPr>
            </w:pPr>
            <w:r>
              <w:rPr>
                <w:rFonts w:ascii="Times New Roman" w:eastAsia="Inter" w:hAnsi="Times New Roman" w:cs="Times New Roman"/>
                <w:i/>
                <w:sz w:val="22"/>
                <w:szCs w:val="22"/>
              </w:rPr>
              <w:t>Fees AED / INR / SGD / USD</w:t>
            </w:r>
          </w:p>
        </w:tc>
      </w:tr>
      <w:tr w:rsidR="002549F2" w14:paraId="000011CE" w14:textId="77777777">
        <w:trPr>
          <w:trHeight w:val="300"/>
        </w:trPr>
        <w:tc>
          <w:tcPr>
            <w:tcW w:w="1921" w:type="dxa"/>
          </w:tcPr>
          <w:p w14:paraId="000011CF"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A</w:t>
            </w:r>
          </w:p>
        </w:tc>
        <w:tc>
          <w:tcPr>
            <w:tcW w:w="1795" w:type="dxa"/>
          </w:tcPr>
          <w:p w14:paraId="000011D0"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H3</w:t>
            </w:r>
          </w:p>
        </w:tc>
        <w:tc>
          <w:tcPr>
            <w:tcW w:w="1784" w:type="dxa"/>
          </w:tcPr>
          <w:p w14:paraId="000011D1"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Transfer pricing audit — Form 3CEB</w:t>
            </w:r>
          </w:p>
        </w:tc>
        <w:tc>
          <w:tcPr>
            <w:tcW w:w="1739" w:type="dxa"/>
          </w:tcPr>
          <w:p w14:paraId="000011D2"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Yearly</w:t>
            </w:r>
          </w:p>
        </w:tc>
        <w:tc>
          <w:tcPr>
            <w:tcW w:w="1777" w:type="dxa"/>
          </w:tcPr>
          <w:p w14:paraId="000011D3"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INR 50,000</w:t>
            </w:r>
          </w:p>
        </w:tc>
      </w:tr>
      <w:tr w:rsidR="002549F2" w14:paraId="000011D4" w14:textId="77777777">
        <w:trPr>
          <w:trHeight w:val="300"/>
        </w:trPr>
        <w:tc>
          <w:tcPr>
            <w:tcW w:w="1921" w:type="dxa"/>
          </w:tcPr>
          <w:p w14:paraId="000011D5"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B</w:t>
            </w:r>
          </w:p>
        </w:tc>
        <w:tc>
          <w:tcPr>
            <w:tcW w:w="1795" w:type="dxa"/>
          </w:tcPr>
          <w:p w14:paraId="000011D6"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C2</w:t>
            </w:r>
          </w:p>
        </w:tc>
        <w:tc>
          <w:tcPr>
            <w:tcW w:w="1784" w:type="dxa"/>
          </w:tcPr>
          <w:p w14:paraId="000011D7"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TDS/TCS — quarterly returns</w:t>
            </w:r>
          </w:p>
        </w:tc>
        <w:tc>
          <w:tcPr>
            <w:tcW w:w="1739" w:type="dxa"/>
          </w:tcPr>
          <w:p w14:paraId="000011D8"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Quarterly</w:t>
            </w:r>
          </w:p>
        </w:tc>
        <w:tc>
          <w:tcPr>
            <w:tcW w:w="1777" w:type="dxa"/>
          </w:tcPr>
          <w:p w14:paraId="000011D9"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INR 25,000</w:t>
            </w:r>
          </w:p>
        </w:tc>
      </w:tr>
    </w:tbl>
    <w:p w14:paraId="0E151E4D" w14:textId="77777777" w:rsidR="002549F2" w:rsidRPr="00D216CD" w:rsidRDefault="002549F2">
      <w:pPr>
        <w:spacing w:after="0" w:line="240" w:lineRule="auto"/>
        <w:rPr>
          <w:rFonts w:ascii="Times New Roman" w:eastAsia="Inter" w:hAnsi="Times New Roman" w:cs="Times New Roman"/>
          <w:b/>
          <w:color w:val="A31134"/>
          <w:sz w:val="22"/>
          <w:szCs w:val="22"/>
        </w:rPr>
      </w:pPr>
    </w:p>
    <w:p w14:paraId="3F8D28A2" w14:textId="6C95BD8D" w:rsidR="002549F2" w:rsidRPr="00D216CD" w:rsidRDefault="00620022" w:rsidP="00D216CD">
      <w:pPr>
        <w:spacing w:after="0" w:line="240" w:lineRule="auto"/>
        <w:rPr>
          <w:rFonts w:ascii="Times New Roman" w:eastAsia="Inter" w:hAnsi="Times New Roman" w:cs="Times New Roman"/>
          <w:b/>
          <w:color w:val="A31134"/>
          <w:sz w:val="22"/>
          <w:szCs w:val="22"/>
        </w:rPr>
      </w:pPr>
      <w:r w:rsidRPr="00D216CD">
        <w:rPr>
          <w:rFonts w:ascii="Times New Roman" w:eastAsia="Inter" w:hAnsi="Times New Roman" w:cs="Times New Roman"/>
          <w:b/>
          <w:color w:val="A31134"/>
          <w:sz w:val="22"/>
          <w:szCs w:val="22"/>
        </w:rPr>
        <w:t>Notes</w:t>
      </w:r>
    </w:p>
    <w:p w14:paraId="5C244E7C" w14:textId="77777777" w:rsidR="00D216CD" w:rsidRPr="00D216CD" w:rsidRDefault="00D216CD" w:rsidP="00D216CD">
      <w:pPr>
        <w:spacing w:after="0" w:line="240" w:lineRule="auto"/>
        <w:rPr>
          <w:rFonts w:ascii="Times New Roman" w:eastAsia="Inter" w:hAnsi="Times New Roman" w:cs="Times New Roman"/>
          <w:b/>
          <w:color w:val="A31134"/>
          <w:sz w:val="22"/>
          <w:szCs w:val="22"/>
        </w:rPr>
      </w:pPr>
    </w:p>
    <w:p w14:paraId="1D80F88D" w14:textId="2F99B9E4" w:rsidR="00D216CD" w:rsidRPr="00D216CD" w:rsidRDefault="00D216CD" w:rsidP="0044502E">
      <w:pPr>
        <w:spacing w:before="240" w:after="240" w:line="240" w:lineRule="auto"/>
        <w:jc w:val="both"/>
        <w:rPr>
          <w:rFonts w:ascii="Times New Roman" w:eastAsia="Inter" w:hAnsi="Times New Roman" w:cs="Times New Roman"/>
          <w:sz w:val="22"/>
          <w:szCs w:val="22"/>
        </w:rPr>
      </w:pPr>
      <w:r w:rsidRPr="00116440">
        <w:rPr>
          <w:rFonts w:ascii="Times New Roman" w:eastAsia="Inter" w:hAnsi="Times New Roman" w:cs="Times New Roman"/>
          <w:b/>
          <w:color w:val="A31134"/>
          <w:sz w:val="22"/>
          <w:szCs w:val="22"/>
        </w:rPr>
        <w:t>Team Deployment</w:t>
      </w:r>
      <w:r w:rsidRPr="00D216CD">
        <w:rPr>
          <w:rFonts w:ascii="Times New Roman" w:eastAsia="Inter" w:hAnsi="Times New Roman" w:cs="Times New Roman"/>
          <w:b/>
          <w:color w:val="000000"/>
          <w:sz w:val="22"/>
          <w:szCs w:val="22"/>
        </w:rPr>
        <w:t>:</w:t>
      </w:r>
      <w:r w:rsidRPr="00D216CD">
        <w:rPr>
          <w:rFonts w:ascii="Times New Roman" w:eastAsia="Inter" w:hAnsi="Times New Roman" w:cs="Times New Roman"/>
          <w:color w:val="000000"/>
          <w:sz w:val="22"/>
          <w:szCs w:val="22"/>
        </w:rPr>
        <w:t xml:space="preserve"> </w:t>
      </w:r>
    </w:p>
    <w:p w14:paraId="53E8FE5E" w14:textId="0F414E5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Article: CA pursuing candidate who has cleared Intermediate Level</w:t>
      </w:r>
    </w:p>
    <w:p w14:paraId="0AAC13B0"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Analyst: CA (Semi- Qualified) or Accountant with minimum 1 year experience, along with 3 years of articleship exposure</w:t>
      </w:r>
    </w:p>
    <w:p w14:paraId="067C0F79"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Senior Analyst: CA (Semi- Qualified) or Accountant with minimum 2 year experience, along with 3 years of articleship exposure</w:t>
      </w:r>
    </w:p>
    <w:p w14:paraId="606A41D6"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Associate [semi qualified or with minimum 2 years of accounting and finance experience for day-to-day accounting entries and co-ordination]- Qualified CA fresher (with 3 years articleship) or minimum 4 years experience as finance professional</w:t>
      </w:r>
    </w:p>
    <w:p w14:paraId="676CA760"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Senior Associate / AM: Qualified CA with 3 years of relevant post qualification experience in accounting / tax / secretarial compliance]</w:t>
      </w:r>
    </w:p>
    <w:p w14:paraId="4E5DF8A6"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Assistant Manager: Qualified CA with 4 years of relevant post qualification experience in accounting / tax / secretarial compliance]</w:t>
      </w:r>
    </w:p>
    <w:p w14:paraId="0618CBEE"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Manager: Qualified CA with 5 years of relevant post qualification experience in accounting / tax / secretarial compliance]</w:t>
      </w:r>
    </w:p>
    <w:p w14:paraId="005411DA"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Senior Manager: Qualified CA with 6 years of relevant post qualification experience in accounting / tax / secretarial compliance]</w:t>
      </w:r>
    </w:p>
    <w:p w14:paraId="343D8800"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Associate Director / Partner [escalation, queries, review meetings, relationship manager]</w:t>
      </w:r>
    </w:p>
    <w:p w14:paraId="255C9BF4" w14:textId="77777777" w:rsidR="002549F2" w:rsidRPr="00D216CD" w:rsidRDefault="002549F2">
      <w:pPr>
        <w:spacing w:after="0" w:line="240" w:lineRule="auto"/>
        <w:rPr>
          <w:rFonts w:ascii="Times New Roman" w:eastAsia="Inter" w:hAnsi="Times New Roman" w:cs="Times New Roman"/>
          <w:sz w:val="22"/>
          <w:szCs w:val="22"/>
        </w:rPr>
      </w:pPr>
    </w:p>
    <w:p w14:paraId="6CD7B5F5" w14:textId="77777777" w:rsidR="002549F2" w:rsidRPr="00D216CD" w:rsidRDefault="00620022">
      <w:pPr>
        <w:spacing w:after="0" w:line="240" w:lineRule="auto"/>
        <w:rPr>
          <w:rFonts w:ascii="Times New Roman" w:eastAsia="Inter" w:hAnsi="Times New Roman" w:cs="Times New Roman"/>
          <w:sz w:val="22"/>
          <w:szCs w:val="22"/>
        </w:rPr>
      </w:pPr>
      <w:r w:rsidRPr="00D216CD">
        <w:rPr>
          <w:rFonts w:ascii="Times New Roman" w:eastAsia="Inter" w:hAnsi="Times New Roman" w:cs="Times New Roman"/>
          <w:b/>
          <w:color w:val="A31134"/>
          <w:sz w:val="22"/>
          <w:szCs w:val="22"/>
        </w:rPr>
        <w:t>General scope exclusions</w:t>
      </w:r>
      <w:r w:rsidRPr="00D216CD">
        <w:rPr>
          <w:rFonts w:ascii="Times New Roman" w:eastAsia="Inter" w:hAnsi="Times New Roman" w:cs="Times New Roman"/>
          <w:sz w:val="22"/>
          <w:szCs w:val="22"/>
        </w:rPr>
        <w:br/>
        <w:t>The scope of work does not include following-</w:t>
      </w:r>
    </w:p>
    <w:p w14:paraId="2A6C5B6F" w14:textId="77777777" w:rsidR="002549F2" w:rsidRPr="00D216CD" w:rsidRDefault="00620022">
      <w:pPr>
        <w:numPr>
          <w:ilvl w:val="0"/>
          <w:numId w:val="1"/>
        </w:numPr>
        <w:pBdr>
          <w:top w:val="nil"/>
          <w:left w:val="nil"/>
          <w:bottom w:val="nil"/>
          <w:right w:val="nil"/>
          <w:between w:val="nil"/>
        </w:pBdr>
        <w:spacing w:after="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lastRenderedPageBreak/>
        <w:t>Any certification unless otherwise included in the scope</w:t>
      </w:r>
    </w:p>
    <w:p w14:paraId="19FC8CAA" w14:textId="77777777" w:rsidR="002549F2" w:rsidRPr="00D216CD" w:rsidRDefault="00620022">
      <w:pPr>
        <w:numPr>
          <w:ilvl w:val="0"/>
          <w:numId w:val="1"/>
        </w:numPr>
        <w:pBdr>
          <w:top w:val="nil"/>
          <w:left w:val="nil"/>
          <w:bottom w:val="nil"/>
          <w:right w:val="nil"/>
          <w:between w:val="nil"/>
        </w:pBdr>
        <w:spacing w:after="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Drafting / review of legal agreements or customer contracts</w:t>
      </w:r>
    </w:p>
    <w:p w14:paraId="08AD1959" w14:textId="77777777" w:rsidR="002549F2" w:rsidRPr="00D216CD" w:rsidRDefault="00620022">
      <w:pPr>
        <w:numPr>
          <w:ilvl w:val="0"/>
          <w:numId w:val="1"/>
        </w:numPr>
        <w:pBdr>
          <w:top w:val="nil"/>
          <w:left w:val="nil"/>
          <w:bottom w:val="nil"/>
          <w:right w:val="nil"/>
          <w:between w:val="nil"/>
        </w:pBdr>
        <w:spacing w:after="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Assistance in due diligence in case of funding round</w:t>
      </w:r>
    </w:p>
    <w:p w14:paraId="73B218A9" w14:textId="77777777" w:rsidR="002549F2" w:rsidRPr="00D216CD" w:rsidRDefault="00620022">
      <w:pPr>
        <w:numPr>
          <w:ilvl w:val="0"/>
          <w:numId w:val="1"/>
        </w:numPr>
        <w:pBdr>
          <w:top w:val="nil"/>
          <w:left w:val="nil"/>
          <w:bottom w:val="nil"/>
          <w:right w:val="nil"/>
          <w:between w:val="nil"/>
        </w:pBdr>
        <w:spacing w:after="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Accounting or any other assistance in case of M&amp;A</w:t>
      </w:r>
    </w:p>
    <w:p w14:paraId="1269077B" w14:textId="77777777" w:rsidR="002549F2" w:rsidRPr="00D216CD" w:rsidRDefault="00620022">
      <w:pPr>
        <w:numPr>
          <w:ilvl w:val="0"/>
          <w:numId w:val="1"/>
        </w:numPr>
        <w:pBdr>
          <w:top w:val="nil"/>
          <w:left w:val="nil"/>
          <w:bottom w:val="nil"/>
          <w:right w:val="nil"/>
          <w:between w:val="nil"/>
        </w:pBdr>
        <w:spacing w:after="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Representation before the tax or other authorities unless otherwise agreed in the scope</w:t>
      </w:r>
    </w:p>
    <w:p w14:paraId="6250A55D" w14:textId="77777777" w:rsidR="002549F2" w:rsidRPr="00D216CD" w:rsidRDefault="00620022">
      <w:pPr>
        <w:numPr>
          <w:ilvl w:val="0"/>
          <w:numId w:val="1"/>
        </w:numPr>
        <w:pBdr>
          <w:top w:val="nil"/>
          <w:left w:val="nil"/>
          <w:bottom w:val="nil"/>
          <w:right w:val="nil"/>
          <w:between w:val="nil"/>
        </w:pBdr>
        <w:spacing w:after="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Anything specifically not mentioned in the scope shall be deemed excluded</w:t>
      </w:r>
    </w:p>
    <w:p w14:paraId="4AE4DD04" w14:textId="77777777" w:rsidR="002549F2" w:rsidRPr="00D216CD" w:rsidRDefault="002549F2">
      <w:pPr>
        <w:spacing w:after="0" w:line="276" w:lineRule="auto"/>
        <w:rPr>
          <w:rFonts w:ascii="Times New Roman" w:eastAsia="Inter" w:hAnsi="Times New Roman" w:cs="Times New Roman"/>
          <w:sz w:val="22"/>
          <w:szCs w:val="22"/>
        </w:rPr>
      </w:pPr>
    </w:p>
    <w:p w14:paraId="48FFC270" w14:textId="77777777" w:rsidR="002549F2" w:rsidRPr="00D216CD" w:rsidRDefault="00620022">
      <w:pPr>
        <w:spacing w:after="0" w:line="276" w:lineRule="auto"/>
        <w:rPr>
          <w:rFonts w:ascii="Times New Roman" w:eastAsia="Inter" w:hAnsi="Times New Roman" w:cs="Times New Roman"/>
          <w:sz w:val="22"/>
          <w:szCs w:val="22"/>
        </w:rPr>
      </w:pPr>
      <w:r w:rsidRPr="00D216CD">
        <w:rPr>
          <w:rFonts w:ascii="Times New Roman" w:eastAsia="Inter" w:hAnsi="Times New Roman" w:cs="Times New Roman"/>
          <w:b/>
          <w:color w:val="A31134"/>
          <w:sz w:val="22"/>
          <w:szCs w:val="22"/>
        </w:rPr>
        <w:t>Commercials</w:t>
      </w:r>
    </w:p>
    <w:p w14:paraId="000011DA"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 All fees are exclusive of GST as applicable.</w:t>
      </w:r>
    </w:p>
    <w:p w14:paraId="000011DB" w14:textId="77777777" w:rsidR="002549F2" w:rsidRDefault="002549F2">
      <w:pPr>
        <w:spacing w:before="80" w:after="40" w:line="260"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 Government fee and out of pocket expenses shall be reimbursed on actual basis</w:t>
      </w:r>
    </w:p>
    <w:sectPr w:rsidR="002549F2" w:rsidRPr="00D216CD">
      <w:headerReference w:type="default" r:id="rId9"/>
      <w:footerReference w:type="first" r:id="rId10"/>
      <w:pgSz w:w="11906" w:h="16838"/>
      <w:pgMar w:top="0" w:right="1440" w:bottom="1440" w:left="1440"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07CA6" w14:textId="77777777" w:rsidR="00F239D8" w:rsidRDefault="00F239D8">
      <w:pPr>
        <w:spacing w:after="0" w:line="240" w:lineRule="auto"/>
      </w:pPr>
      <w:r>
        <w:separator/>
      </w:r>
    </w:p>
  </w:endnote>
  <w:endnote w:type="continuationSeparator" w:id="0">
    <w:p w14:paraId="723AA653" w14:textId="77777777" w:rsidR="00F239D8" w:rsidRDefault="00F239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panose1 w:val="020B0502040504020204"/>
    <w:charset w:val="00"/>
    <w:family w:val="swiss"/>
    <w:pitch w:val="variable"/>
    <w:sig w:usb0="00000003" w:usb1="0200E0A0" w:usb2="00000000" w:usb3="00000000" w:csb0="00000001" w:csb1="00000000"/>
    <w:embedRegular r:id="rId1" w:fontKey="{A58F2A77-2760-4E1B-B8F4-BF13D4F288A3}"/>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ACFF" w:usb2="00000009" w:usb3="00000000" w:csb0="000001FF" w:csb1="00000000"/>
    <w:embedRegular r:id="rId2" w:fontKey="{7411125B-194D-40C9-8B90-1D0C04F3E2B5}"/>
    <w:embedItalic r:id="rId3" w:fontKey="{938BEBFE-AB29-465A-97BA-4426897EE8D7}"/>
  </w:font>
  <w:font w:name="Calibri Light">
    <w:panose1 w:val="020F0302020204030204"/>
    <w:charset w:val="00"/>
    <w:family w:val="swiss"/>
    <w:pitch w:val="variable"/>
    <w:sig w:usb0="A00002EF" w:usb1="4000207B" w:usb2="00000000" w:usb3="00000000" w:csb0="0000019F" w:csb1="00000000"/>
    <w:embedRegular r:id="rId4" w:fontKey="{BDE80CB5-734A-43EE-B9E6-6F14B49552D8}"/>
  </w:font>
  <w:font w:name="Inter">
    <w:charset w:val="00"/>
    <w:family w:val="auto"/>
    <w:pitch w:val="variable"/>
    <w:sig w:usb0="E0000AFF" w:usb1="5200A1FF" w:usb2="00000021" w:usb3="00000000" w:csb0="0000019F" w:csb1="00000000"/>
    <w:embedRegular r:id="rId5" w:fontKey="{B5199AA5-8C7B-3A4A-A5ED-2497D9154B41}"/>
    <w:embedBold r:id="rId6" w:fontKey="{A4382458-3AE5-B94F-8BA9-C9C7BD1F9C60}"/>
    <w:embedItalic r:id="rId7" w:fontKey="{4593D32C-7F82-1F4D-8D5B-0ED010B8FD8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57718" w14:textId="77777777" w:rsidR="002549F2" w:rsidRDefault="002549F2">
    <w:pPr>
      <w:widowControl w:val="0"/>
      <w:pBdr>
        <w:top w:val="nil"/>
        <w:left w:val="nil"/>
        <w:bottom w:val="nil"/>
        <w:right w:val="nil"/>
        <w:between w:val="nil"/>
      </w:pBdr>
      <w:spacing w:after="0" w:line="276" w:lineRule="auto"/>
      <w:rPr>
        <w:color w:val="000000"/>
      </w:rPr>
    </w:pPr>
  </w:p>
  <w:tbl>
    <w:tblPr>
      <w:tblStyle w:val="af2"/>
      <w:tblW w:w="9015" w:type="dxa"/>
      <w:tblLayout w:type="fixed"/>
      <w:tblLook w:val="0600" w:firstRow="0" w:lastRow="0" w:firstColumn="0" w:lastColumn="0" w:noHBand="1" w:noVBand="1"/>
    </w:tblPr>
    <w:tblGrid>
      <w:gridCol w:w="3005"/>
      <w:gridCol w:w="3005"/>
      <w:gridCol w:w="3005"/>
    </w:tblGrid>
    <w:tr w:rsidR="002549F2" w14:paraId="0171583A" w14:textId="77777777">
      <w:trPr>
        <w:trHeight w:val="300"/>
      </w:trPr>
      <w:tc>
        <w:tcPr>
          <w:tcW w:w="3005" w:type="dxa"/>
        </w:tcPr>
        <w:p w14:paraId="2036B3C7" w14:textId="77777777" w:rsidR="002549F2" w:rsidRDefault="002549F2">
          <w:pPr>
            <w:pBdr>
              <w:top w:val="nil"/>
              <w:left w:val="nil"/>
              <w:bottom w:val="nil"/>
              <w:right w:val="nil"/>
              <w:between w:val="nil"/>
            </w:pBdr>
            <w:tabs>
              <w:tab w:val="center" w:pos="4513"/>
              <w:tab w:val="right" w:pos="9026"/>
            </w:tabs>
            <w:spacing w:after="0" w:line="240" w:lineRule="auto"/>
            <w:ind w:left="-115"/>
            <w:rPr>
              <w:color w:val="000000"/>
            </w:rPr>
          </w:pPr>
        </w:p>
      </w:tc>
      <w:tc>
        <w:tcPr>
          <w:tcW w:w="3005" w:type="dxa"/>
        </w:tcPr>
        <w:p w14:paraId="6D9BADE2" w14:textId="77777777" w:rsidR="002549F2" w:rsidRDefault="002549F2">
          <w:pPr>
            <w:pBdr>
              <w:top w:val="nil"/>
              <w:left w:val="nil"/>
              <w:bottom w:val="nil"/>
              <w:right w:val="nil"/>
              <w:between w:val="nil"/>
            </w:pBdr>
            <w:tabs>
              <w:tab w:val="center" w:pos="4513"/>
              <w:tab w:val="right" w:pos="9026"/>
            </w:tabs>
            <w:spacing w:after="0" w:line="240" w:lineRule="auto"/>
            <w:jc w:val="center"/>
            <w:rPr>
              <w:color w:val="000000"/>
            </w:rPr>
          </w:pPr>
        </w:p>
      </w:tc>
      <w:tc>
        <w:tcPr>
          <w:tcW w:w="3005" w:type="dxa"/>
        </w:tcPr>
        <w:p w14:paraId="086ABA14" w14:textId="77777777" w:rsidR="002549F2" w:rsidRDefault="002549F2">
          <w:pPr>
            <w:pBdr>
              <w:top w:val="nil"/>
              <w:left w:val="nil"/>
              <w:bottom w:val="nil"/>
              <w:right w:val="nil"/>
              <w:between w:val="nil"/>
            </w:pBdr>
            <w:tabs>
              <w:tab w:val="center" w:pos="4513"/>
              <w:tab w:val="right" w:pos="9026"/>
            </w:tabs>
            <w:spacing w:after="0" w:line="240" w:lineRule="auto"/>
            <w:ind w:right="-115"/>
            <w:jc w:val="right"/>
            <w:rPr>
              <w:color w:val="000000"/>
            </w:rPr>
          </w:pPr>
        </w:p>
      </w:tc>
    </w:tr>
  </w:tbl>
  <w:p w14:paraId="74525D11" w14:textId="77777777" w:rsidR="002549F2" w:rsidRDefault="002549F2">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6705E" w14:textId="77777777" w:rsidR="00F239D8" w:rsidRDefault="00F239D8">
      <w:pPr>
        <w:spacing w:after="0" w:line="240" w:lineRule="auto"/>
      </w:pPr>
      <w:r>
        <w:separator/>
      </w:r>
    </w:p>
  </w:footnote>
  <w:footnote w:type="continuationSeparator" w:id="0">
    <w:p w14:paraId="73EB0453" w14:textId="77777777" w:rsidR="00F239D8" w:rsidRDefault="00F239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7D864" w14:textId="77777777" w:rsidR="002549F2" w:rsidRDefault="00620022">
    <w:r>
      <w:rPr>
        <w:noProof/>
      </w:rPr>
      <w:drawing>
        <wp:inline distT="0" distB="0" distL="0" distR="0" wp14:anchorId="644E27B5" wp14:editId="255631A2">
          <wp:extent cx="1280160" cy="246380"/>
          <wp:effectExtent l="0" t="0" r="0" b="0"/>
          <wp:docPr id="195173844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80160" cy="24638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62888"/>
    <w:multiLevelType w:val="multilevel"/>
    <w:tmpl w:val="6AE4392C"/>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5E06775"/>
    <w:multiLevelType w:val="multilevel"/>
    <w:tmpl w:val="671052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6FF038D"/>
    <w:multiLevelType w:val="multilevel"/>
    <w:tmpl w:val="B1CA05C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A9517F8"/>
    <w:multiLevelType w:val="multilevel"/>
    <w:tmpl w:val="B1CA05C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86C1E06"/>
    <w:multiLevelType w:val="hybridMultilevel"/>
    <w:tmpl w:val="1B5638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DAC0583"/>
    <w:multiLevelType w:val="multilevel"/>
    <w:tmpl w:val="447488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20134DD"/>
    <w:multiLevelType w:val="multilevel"/>
    <w:tmpl w:val="25D22FD8"/>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6AB1D6D"/>
    <w:multiLevelType w:val="multilevel"/>
    <w:tmpl w:val="189C9692"/>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724E6E7B"/>
    <w:multiLevelType w:val="multilevel"/>
    <w:tmpl w:val="48344BE0"/>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7BF40225"/>
    <w:multiLevelType w:val="hybridMultilevel"/>
    <w:tmpl w:val="E88CD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2D497B"/>
    <w:multiLevelType w:val="multilevel"/>
    <w:tmpl w:val="53460ADC"/>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981731731">
    <w:abstractNumId w:val="6"/>
  </w:num>
  <w:num w:numId="2" w16cid:durableId="1992520746">
    <w:abstractNumId w:val="10"/>
  </w:num>
  <w:num w:numId="3" w16cid:durableId="1385563926">
    <w:abstractNumId w:val="8"/>
  </w:num>
  <w:num w:numId="4" w16cid:durableId="529805195">
    <w:abstractNumId w:val="0"/>
  </w:num>
  <w:num w:numId="5" w16cid:durableId="754395890">
    <w:abstractNumId w:val="7"/>
  </w:num>
  <w:num w:numId="6" w16cid:durableId="18700311">
    <w:abstractNumId w:val="2"/>
  </w:num>
  <w:num w:numId="7" w16cid:durableId="599139387">
    <w:abstractNumId w:val="5"/>
  </w:num>
  <w:num w:numId="8" w16cid:durableId="1241326417">
    <w:abstractNumId w:val="1"/>
  </w:num>
  <w:num w:numId="9" w16cid:durableId="668876005">
    <w:abstractNumId w:val="3"/>
  </w:num>
  <w:num w:numId="10" w16cid:durableId="426118636">
    <w:abstractNumId w:val="4"/>
  </w:num>
  <w:num w:numId="11" w16cid:durableId="5772494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7"/>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49F2"/>
    <w:rsid w:val="0004589C"/>
    <w:rsid w:val="00116440"/>
    <w:rsid w:val="002549F2"/>
    <w:rsid w:val="002F4BE6"/>
    <w:rsid w:val="0044502E"/>
    <w:rsid w:val="00587226"/>
    <w:rsid w:val="00603E65"/>
    <w:rsid w:val="00620022"/>
    <w:rsid w:val="006B76AF"/>
    <w:rsid w:val="00D216CD"/>
    <w:rsid w:val="00EC64A9"/>
    <w:rsid w:val="00F239D8"/>
    <w:rsid w:val="00F660F4"/>
    <w:rsid w:val="00FC469E"/>
    <w:rsid w:val="00FE12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63DA9"/>
  <w15:docId w15:val="{24C738DB-9668-4111-B9EF-01C23A283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I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color w:val="2F5496"/>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color w:val="2F5496"/>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2F5496"/>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color w:val="2F5496"/>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2F5496"/>
    </w:rPr>
  </w:style>
  <w:style w:type="paragraph" w:styleId="Heading6">
    <w:name w:val="heading 6"/>
    <w:basedOn w:val="Normal"/>
    <w:next w:val="Normal"/>
    <w:link w:val="Heading6Char"/>
    <w:uiPriority w:val="9"/>
    <w:semiHidden/>
    <w:unhideWhenUsed/>
    <w:qFormat/>
    <w:pPr>
      <w:keepNext/>
      <w:keepLines/>
      <w:spacing w:before="40" w:after="0"/>
      <w:outlineLvl w:val="5"/>
    </w:pPr>
    <w:rPr>
      <w:i/>
      <w:color w:val="595959"/>
    </w:rPr>
  </w:style>
  <w:style w:type="paragraph" w:styleId="Heading7">
    <w:name w:val="heading 7"/>
    <w:basedOn w:val="Normal"/>
    <w:next w:val="Normal"/>
    <w:link w:val="Heading7Char"/>
    <w:uiPriority w:val="9"/>
    <w:semiHidden/>
    <w:unhideWhenUsed/>
    <w:qFormat/>
    <w:rsid w:val="00D235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35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35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link w:val="TitleChar"/>
    <w:uiPriority w:val="10"/>
    <w:qFormat/>
    <w:pPr>
      <w:spacing w:after="80" w:line="240" w:lineRule="auto"/>
    </w:pPr>
    <w:rPr>
      <w:sz w:val="56"/>
      <w:szCs w:val="56"/>
    </w:rPr>
  </w:style>
  <w:style w:type="table" w:customStyle="1" w:styleId="TableNormal1">
    <w:name w:val="TableNormal"/>
    <w:tblPr>
      <w:tblCellMar>
        <w:top w:w="0" w:type="dxa"/>
        <w:left w:w="0" w:type="dxa"/>
        <w:bottom w:w="0" w:type="dxa"/>
        <w:right w:w="0" w:type="dxa"/>
      </w:tblCellMar>
    </w:tblPr>
  </w:style>
  <w:style w:type="table" w:customStyle="1" w:styleId="TableNormal2">
    <w:name w:val="TableNormal"/>
    <w:tblPr>
      <w:tblCellMar>
        <w:top w:w="0" w:type="dxa"/>
        <w:left w:w="0" w:type="dxa"/>
        <w:bottom w:w="0" w:type="dxa"/>
        <w:right w:w="0" w:type="dxa"/>
      </w:tblCellMar>
    </w:tblPr>
  </w:style>
  <w:style w:type="table" w:customStyle="1" w:styleId="TableNormal3">
    <w:name w:val="TableNormal"/>
    <w:tblPr>
      <w:tblCellMar>
        <w:top w:w="0" w:type="dxa"/>
        <w:left w:w="0" w:type="dxa"/>
        <w:bottom w:w="0" w:type="dxa"/>
        <w:right w:w="0" w:type="dxa"/>
      </w:tblCellMar>
    </w:tblPr>
  </w:style>
  <w:style w:type="table" w:customStyle="1" w:styleId="TableNormal4">
    <w:name w:val="TableNormal"/>
    <w:tblPr>
      <w:tblCellMar>
        <w:top w:w="0" w:type="dxa"/>
        <w:left w:w="0" w:type="dxa"/>
        <w:bottom w:w="0" w:type="dxa"/>
        <w:right w:w="0" w:type="dxa"/>
      </w:tblCellMar>
    </w:tblPr>
  </w:style>
  <w:style w:type="table" w:customStyle="1" w:styleId="TableNormal5">
    <w:name w:val="TableNormal"/>
    <w:tblPr>
      <w:tblCellMar>
        <w:top w:w="0" w:type="dxa"/>
        <w:left w:w="0" w:type="dxa"/>
        <w:bottom w:w="0" w:type="dxa"/>
        <w:right w:w="0" w:type="dxa"/>
      </w:tblCellMar>
    </w:tblPr>
  </w:style>
  <w:style w:type="table" w:customStyle="1" w:styleId="TableNormal6">
    <w:name w:val="TableNormal"/>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D2353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2353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2353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2353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2353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235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35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35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3538"/>
    <w:rPr>
      <w:rFonts w:eastAsiaTheme="majorEastAsia" w:cstheme="majorBidi"/>
      <w:color w:val="272727" w:themeColor="text1" w:themeTint="D8"/>
    </w:rPr>
  </w:style>
  <w:style w:type="character" w:customStyle="1" w:styleId="TitleChar">
    <w:name w:val="Title Char"/>
    <w:basedOn w:val="DefaultParagraphFont"/>
    <w:link w:val="Title"/>
    <w:uiPriority w:val="10"/>
    <w:rsid w:val="00D23538"/>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D235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3538"/>
    <w:pPr>
      <w:spacing w:before="160"/>
      <w:jc w:val="center"/>
    </w:pPr>
    <w:rPr>
      <w:i/>
      <w:iCs/>
      <w:color w:val="404040" w:themeColor="text1" w:themeTint="BF"/>
    </w:rPr>
  </w:style>
  <w:style w:type="character" w:customStyle="1" w:styleId="QuoteChar">
    <w:name w:val="Quote Char"/>
    <w:basedOn w:val="DefaultParagraphFont"/>
    <w:link w:val="Quote"/>
    <w:uiPriority w:val="29"/>
    <w:rsid w:val="00D23538"/>
    <w:rPr>
      <w:i/>
      <w:iCs/>
      <w:color w:val="404040" w:themeColor="text1" w:themeTint="BF"/>
    </w:rPr>
  </w:style>
  <w:style w:type="paragraph" w:styleId="ListParagraph">
    <w:name w:val="List Paragraph"/>
    <w:basedOn w:val="Normal"/>
    <w:uiPriority w:val="34"/>
    <w:qFormat/>
    <w:rsid w:val="00D23538"/>
    <w:pPr>
      <w:ind w:left="720"/>
      <w:contextualSpacing/>
    </w:pPr>
  </w:style>
  <w:style w:type="character" w:styleId="IntenseEmphasis">
    <w:name w:val="Intense Emphasis"/>
    <w:basedOn w:val="DefaultParagraphFont"/>
    <w:uiPriority w:val="21"/>
    <w:qFormat/>
    <w:rsid w:val="00D23538"/>
    <w:rPr>
      <w:i/>
      <w:iCs/>
      <w:color w:val="2F5496" w:themeColor="accent1" w:themeShade="BF"/>
    </w:rPr>
  </w:style>
  <w:style w:type="paragraph" w:styleId="IntenseQuote">
    <w:name w:val="Intense Quote"/>
    <w:basedOn w:val="Normal"/>
    <w:next w:val="Normal"/>
    <w:link w:val="IntenseQuoteChar"/>
    <w:uiPriority w:val="30"/>
    <w:qFormat/>
    <w:rsid w:val="00D2353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23538"/>
    <w:rPr>
      <w:i/>
      <w:iCs/>
      <w:color w:val="2F5496" w:themeColor="accent1" w:themeShade="BF"/>
    </w:rPr>
  </w:style>
  <w:style w:type="character" w:styleId="IntenseReference">
    <w:name w:val="Intense Reference"/>
    <w:basedOn w:val="DefaultParagraphFont"/>
    <w:uiPriority w:val="32"/>
    <w:qFormat/>
    <w:rsid w:val="00D23538"/>
    <w:rPr>
      <w:b/>
      <w:bCs/>
      <w:smallCaps/>
      <w:color w:val="2F5496" w:themeColor="accent1" w:themeShade="BF"/>
      <w:spacing w:val="5"/>
    </w:rPr>
  </w:style>
  <w:style w:type="character" w:styleId="PlaceholderText">
    <w:name w:val="Placeholder Text"/>
    <w:basedOn w:val="DefaultParagraphFont"/>
    <w:uiPriority w:val="99"/>
    <w:semiHidden/>
    <w:rsid w:val="00D23538"/>
    <w:rPr>
      <w:color w:val="666666"/>
    </w:rPr>
  </w:style>
  <w:style w:type="table" w:styleId="TableGrid">
    <w:name w:val="Table Grid"/>
    <w:basedOn w:val="TableNormal"/>
    <w:uiPriority w:val="39"/>
    <w:rsid w:val="00F328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Code">
    <w:name w:val="HTML Code"/>
    <w:basedOn w:val="DefaultParagraphFont"/>
    <w:uiPriority w:val="99"/>
    <w:semiHidden/>
    <w:unhideWhenUsed/>
    <w:rsid w:val="00281C0A"/>
    <w:rPr>
      <w:rFonts w:ascii="Courier New" w:eastAsia="Times New Roman" w:hAnsi="Courier New" w:cs="Courier New"/>
      <w:sz w:val="20"/>
      <w:szCs w:val="20"/>
    </w:rPr>
  </w:style>
  <w:style w:type="paragraph" w:styleId="Header">
    <w:name w:val="header"/>
    <w:basedOn w:val="Normal"/>
    <w:link w:val="HeaderChar"/>
    <w:uiPriority w:val="99"/>
    <w:unhideWhenUsed/>
    <w:rsid w:val="00E27C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7C8E"/>
  </w:style>
  <w:style w:type="paragraph" w:styleId="Footer">
    <w:name w:val="footer"/>
    <w:basedOn w:val="Normal"/>
    <w:link w:val="FooterChar"/>
    <w:uiPriority w:val="99"/>
    <w:unhideWhenUsed/>
    <w:rsid w:val="00E27C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7C8E"/>
  </w:style>
  <w:style w:type="paragraph" w:styleId="NoSpacing">
    <w:name w:val="No Spacing"/>
    <w:link w:val="NoSpacingChar"/>
    <w:uiPriority w:val="1"/>
    <w:qFormat/>
    <w:rsid w:val="002452DC"/>
    <w:pPr>
      <w:spacing w:after="0" w:line="240" w:lineRule="auto"/>
    </w:pPr>
    <w:rPr>
      <w:rFonts w:eastAsiaTheme="minorEastAsia"/>
      <w:sz w:val="22"/>
      <w:szCs w:val="22"/>
      <w:lang w:val="en-US"/>
    </w:rPr>
  </w:style>
  <w:style w:type="character" w:customStyle="1" w:styleId="NoSpacingChar">
    <w:name w:val="No Spacing Char"/>
    <w:basedOn w:val="DefaultParagraphFont"/>
    <w:link w:val="NoSpacing"/>
    <w:uiPriority w:val="1"/>
    <w:rsid w:val="002452DC"/>
    <w:rPr>
      <w:rFonts w:eastAsiaTheme="minorEastAsia"/>
      <w:kern w:val="0"/>
      <w:sz w:val="22"/>
      <w:szCs w:val="22"/>
      <w:lang w:val="en-US"/>
    </w:rPr>
  </w:style>
  <w:style w:type="character" w:styleId="Hyperlink">
    <w:name w:val="Hyperlink"/>
    <w:basedOn w:val="DefaultParagraphFont"/>
    <w:uiPriority w:val="99"/>
    <w:unhideWhenUsed/>
    <w:rsid w:val="00794AEE"/>
    <w:rPr>
      <w:color w:val="0563C1" w:themeColor="hyperlink"/>
      <w:u w:val="single"/>
    </w:rPr>
  </w:style>
  <w:style w:type="character" w:styleId="UnresolvedMention">
    <w:name w:val="Unresolved Mention"/>
    <w:basedOn w:val="DefaultParagraphFont"/>
    <w:uiPriority w:val="99"/>
    <w:semiHidden/>
    <w:unhideWhenUsed/>
    <w:rsid w:val="00794AEE"/>
    <w:rPr>
      <w:color w:val="605E5C"/>
      <w:shd w:val="clear" w:color="auto" w:fill="E1DFDD"/>
    </w:rPr>
  </w:style>
  <w:style w:type="table" w:customStyle="1" w:styleId="a">
    <w:basedOn w:val="TableNormal"/>
    <w:pPr>
      <w:spacing w:after="0" w:line="240" w:lineRule="auto"/>
    </w:p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pPr>
      <w:spacing w:after="0" w:line="240" w:lineRule="auto"/>
    </w:pPr>
    <w:tblPr>
      <w:tblStyleRowBandSize w:val="1"/>
      <w:tblStyleColBandSize w:val="1"/>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pPr>
      <w:spacing w:after="0" w:line="240" w:lineRule="auto"/>
    </w:pPr>
    <w:tblPr>
      <w:tblStyleRowBandSize w:val="1"/>
      <w:tblStyleColBandSize w:val="1"/>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pPr>
      <w:spacing w:after="0" w:line="240" w:lineRule="auto"/>
    </w:pPr>
    <w:tblPr>
      <w:tblStyleRowBandSize w:val="1"/>
      <w:tblStyleColBandSize w:val="1"/>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pPr>
      <w:spacing w:after="0" w:line="240" w:lineRule="auto"/>
    </w:pPr>
    <w:tblPr>
      <w:tblStyleRowBandSize w:val="1"/>
      <w:tblStyleColBandSize w:val="1"/>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pPr>
      <w:spacing w:after="0" w:line="240" w:lineRule="auto"/>
    </w:pPr>
    <w:tblPr>
      <w:tblStyleRowBandSize w:val="1"/>
      <w:tblStyleColBandSize w:val="1"/>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paragraph" w:styleId="Subtitle">
    <w:name w:val="Subtitle"/>
    <w:basedOn w:val="Normal"/>
    <w:next w:val="Normal"/>
    <w:link w:val="SubtitleChar"/>
    <w:uiPriority w:val="11"/>
    <w:qFormat/>
    <w:rPr>
      <w:color w:val="595959"/>
      <w:sz w:val="28"/>
      <w:szCs w:val="28"/>
    </w:rPr>
  </w:style>
  <w:style w:type="table" w:customStyle="1" w:styleId="af1">
    <w:basedOn w:val="TableNormal"/>
    <w:pPr>
      <w:spacing w:after="0" w:line="240" w:lineRule="auto"/>
    </w:pPr>
    <w:tblPr>
      <w:tblStyleRowBandSize w:val="1"/>
      <w:tblStyleColBandSize w:val="1"/>
    </w:tblPr>
  </w:style>
  <w:style w:type="table" w:customStyle="1" w:styleId="af2">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ntTable" Target="fontTable.xml" /><Relationship Id="rId5" Type="http://schemas.openxmlformats.org/officeDocument/2006/relationships/webSettings" Target="webSettings.xml" /><Relationship Id="rId10" Type="http://schemas.openxmlformats.org/officeDocument/2006/relationships/footer" Target="footer1.xml" /><Relationship Id="rId4" Type="http://schemas.openxmlformats.org/officeDocument/2006/relationships/settings" Target="settings.xml" /><Relationship Id="rId9" Type="http://schemas.openxmlformats.org/officeDocument/2006/relationships/header" Target="header1.xml" /></Relationships>
</file>

<file path=word/_rels/fontTable.xml.rels><?xml version="1.0" encoding="UTF-8" standalone="yes"?>
<Relationships xmlns="http://schemas.openxmlformats.org/package/2006/relationships"><Relationship Id="rId3" Type="http://schemas.openxmlformats.org/officeDocument/2006/relationships/font" Target="fonts/font3.odttf" /><Relationship Id="rId7" Type="http://schemas.openxmlformats.org/officeDocument/2006/relationships/font" Target="fonts/font7.odttf" /><Relationship Id="rId2" Type="http://schemas.openxmlformats.org/officeDocument/2006/relationships/font" Target="fonts/font2.odttf" /><Relationship Id="rId1" Type="http://schemas.openxmlformats.org/officeDocument/2006/relationships/font" Target="fonts/font1.odttf" /><Relationship Id="rId6" Type="http://schemas.openxmlformats.org/officeDocument/2006/relationships/font" Target="fonts/font6.odttf" /><Relationship Id="rId5" Type="http://schemas.openxmlformats.org/officeDocument/2006/relationships/font" Target="fonts/font5.odttf" /><Relationship Id="rId4" Type="http://schemas.openxmlformats.org/officeDocument/2006/relationships/font" Target="fonts/font4.odttf" /></Relationships>
</file>

<file path=word/_rels/header1.xml.rels><?xml version="1.0" encoding="UTF-8" standalone="yes"?>
<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yk+mAW8VySbmCP4IBPQV0ZZYNA==">CgMxLjA4AHIhMVBTUExHNzdJLWtrdXhVa05sTzZwNldmZU1jRlFHVWhi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6384</Words>
  <Characters>36392</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Syed Sajid</dc:creator>
  <dc:description/>
  <cp:lastModifiedBy>caashishjain0603@gmail.com</cp:lastModifiedBy>
  <cp:revision>2</cp:revision>
  <dcterms:created xsi:type="dcterms:W3CDTF">2026-04-30T06:57:00Z</dcterms:created>
  <dcterms:modified xsi:type="dcterms:W3CDTF">2026-04-30T06:57:00Z</dcterms:modified>
  <dc:identifier/>
  <dc:language/>
</cp:coreProperties>
</file>