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AD"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2026-06-01</w:t>
      </w:r>
    </w:p>
    <w:p w14:paraId="0000109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09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09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09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09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9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9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9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A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A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A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A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A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A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0A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A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A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A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A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A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AF"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0B0" w14:textId="77777777" w:rsidR="00B073E6" w:rsidRDefault="00B073E6">
      <w:pPr>
        <w:spacing w:after="36"/>
      </w:pPr>
    </w:p>
    <w:p w14:paraId="000010B1"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B2" w14:textId="77777777" w:rsidR="002549F2" w:rsidRDefault="002549F2">
      <w:pPr>
        <w:spacing w:before="40" w:after="40" w:line="220" w:lineRule="auto"/>
      </w:pPr>
      <w:r>
        <w:rPr>
          <w:rFonts w:ascii="Quicksand" w:eastAsia="Quicksand" w:hAnsi="Quicksand" w:cs="Quicksand"/>
          <w:sz w:val="20"/>
          <w:szCs w:val="20"/>
        </w:rPr>
        <w:t xml:space="preserve"> </w:t>
      </w:r>
    </w:p>
    <w:p w14:paraId="000010B3"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B4"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5"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6" w14:textId="77777777" w:rsidR="00B073E6" w:rsidRDefault="00B073E6">
            <w:pPr>
              <w:spacing w:after="28" w:line="244" w:lineRule="auto"/>
              <w:jc w:val="right"/>
            </w:pPr>
          </w:p>
        </w:tc>
      </w:tr>
      <w:tr w:rsidR="00B073E6" w14:paraId="000010B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8" w14:textId="77777777" w:rsidR="00B073E6" w:rsidRDefault="00000000">
            <w:pPr>
              <w:spacing w:after="28" w:line="244" w:lineRule="auto"/>
            </w:pPr>
            <w:r>
              <w:rPr>
                <w:rFonts w:ascii="Quicksand" w:eastAsia="Quicksand" w:hAnsi="Quicksand" w:cs="Quicksand"/>
                <w:b/>
                <w:bCs/>
                <w:color w:val="1B6B6B"/>
                <w:sz w:val="18"/>
                <w:szCs w:val="18"/>
              </w:rPr>
              <w:t>D.</w:t>
            </w:r>
            <w:r>
              <w:rPr>
                <w:rFonts w:ascii="Quicksand" w:eastAsia="Quicksand" w:hAnsi="Quicksand" w:cs="Quicksand"/>
                <w:color w:val="1A1A1A"/>
                <w:sz w:val="18"/>
                <w:szCs w:val="18"/>
              </w:rPr>
              <w:t xml:space="preserve">  GST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9"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B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B"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C"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B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E" w14:textId="77777777" w:rsidR="00B073E6" w:rsidRDefault="00000000">
            <w:pPr>
              <w:spacing w:after="28" w:line="244" w:lineRule="auto"/>
            </w:pPr>
            <w:r>
              <w:rPr>
                <w:rFonts w:ascii="Quicksand" w:eastAsia="Quicksand" w:hAnsi="Quicksand" w:cs="Quicksand"/>
                <w:b/>
                <w:bCs/>
                <w:color w:val="1B6B6B"/>
                <w:sz w:val="18"/>
                <w:szCs w:val="18"/>
              </w:rPr>
              <w:t>K.</w:t>
            </w:r>
            <w:r>
              <w:rPr>
                <w:rFonts w:ascii="Quicksand" w:eastAsia="Quicksand" w:hAnsi="Quicksand" w:cs="Quicksand"/>
                <w:color w:val="1A1A1A"/>
                <w:sz w:val="18"/>
                <w:szCs w:val="18"/>
              </w:rPr>
              <w:t xml:space="preserve">  Financial Due Diligence – Sell-Side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F"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C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C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C2" w14:textId="77777777" w:rsidR="00B073E6" w:rsidRDefault="00000000">
            <w:pPr>
              <w:spacing w:after="28" w:line="244" w:lineRule="auto"/>
            </w:pPr>
            <w:r>
              <w:rPr>
                <w:rFonts w:ascii="Quicksand" w:eastAsia="Quicksand" w:hAnsi="Quicksand" w:cs="Quicksand"/>
                <w:b/>
                <w:bCs/>
                <w:color w:val="FFFFFF"/>
                <w:sz w:val="20"/>
                <w:szCs w:val="20"/>
              </w:rPr>
              <w:t xml:space="preserve">D.  GST Compliances</w:t>
            </w:r>
          </w:p>
        </w:tc>
      </w:tr>
      <w:tr w:rsidR="00B073E6" w14:paraId="000010C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4"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5"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6"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7"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C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A" w14:textId="77777777" w:rsidR="00B073E6" w:rsidRDefault="00000000">
            <w:pPr>
              <w:spacing w:after="28" w:line="244" w:lineRule="auto"/>
            </w:pPr>
            <w:r>
              <w:rPr>
                <w:rFonts w:ascii="Quicksand" w:eastAsia="Quicksand" w:hAnsi="Quicksand" w:cs="Quicksand"/>
                <w:b/>
                <w:bCs/>
                <w:color w:val="1B6B6B"/>
                <w:sz w:val="18"/>
                <w:szCs w:val="18"/>
              </w:rPr>
              <w:t>D1</w:t>
            </w:r>
          </w:p>
          <w:p w14:paraId="000010CB"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C" w14:textId="77777777" w:rsidR="00B073E6" w:rsidRDefault="00000000">
            <w:pPr>
              <w:spacing w:after="28" w:line="244" w:lineRule="auto"/>
            </w:pPr>
            <w:r>
              <w:rPr>
                <w:rFonts w:ascii="Quicksand" w:eastAsia="Quicksand" w:hAnsi="Quicksand" w:cs="Quicksand"/>
                <w:color w:val="1A1A1A"/>
                <w:sz w:val="18"/>
                <w:szCs w:val="18"/>
              </w:rPr>
              <w:t>GSTR-1 (outward supplies) and GSTR-3B (summary return + tax payment) filing.</w:t>
            </w:r>
          </w:p>
          <w:p w14:paraId="000010CD" w14:textId="77777777" w:rsidR="00B073E6" w:rsidRDefault="00000000">
            <w:pPr>
              <w:spacing w:after="28" w:line="244" w:lineRule="auto"/>
            </w:pPr>
            <w:r>
              <w:rPr>
                <w:rFonts w:ascii="Quicksand" w:eastAsia="Quicksand" w:hAnsi="Quicksand" w:cs="Quicksand"/>
                <w:color w:val="1A1A1A"/>
                <w:sz w:val="18"/>
                <w:szCs w:val="18"/>
              </w:rPr>
              <w:t>GSTR-2A/2B reconciliation; ITC balance reconciliation; periodic amendments in returns.</w:t>
            </w:r>
          </w:p>
          <w:p w14:paraId="000010CE" w14:textId="77777777" w:rsidR="00B073E6" w:rsidRDefault="00000000">
            <w:pPr>
              <w:spacing w:after="28" w:line="244" w:lineRule="auto"/>
            </w:pPr>
            <w:r>
              <w:rPr>
                <w:rFonts w:ascii="Quicksand" w:eastAsia="Quicksand" w:hAnsi="Quicksand" w:cs="Quicksand"/>
                <w:color w:val="1A1A1A"/>
                <w:sz w:val="18"/>
                <w:szCs w:val="18"/>
              </w:rPr>
              <w:t>E-invoice, e-way bill and delivery challan generation.</w:t>
            </w:r>
          </w:p>
          <w:p w14:paraId="000010CF" w14:textId="77777777" w:rsidR="00B073E6" w:rsidRDefault="00000000">
            <w:pPr>
              <w:spacing w:after="28" w:line="244" w:lineRule="auto"/>
            </w:pPr>
            <w:r>
              <w:rPr>
                <w:rFonts w:ascii="Quicksand" w:eastAsia="Quicksand" w:hAnsi="Quicksand" w:cs="Quicksand"/>
                <w:color w:val="1A1A1A"/>
                <w:sz w:val="18"/>
                <w:szCs w:val="18"/>
              </w:rPr>
              <w:t>Vendor/customer liaison for ITC corrections.</w:t>
            </w:r>
          </w:p>
          <w:p w14:paraId="000010D0" w14:textId="77777777" w:rsidR="00B073E6" w:rsidRDefault="00000000">
            <w:pPr>
              <w:spacing w:after="4" w:line="244" w:lineRule="auto"/>
            </w:pPr>
            <w:r>
              <w:rPr>
                <w:rFonts w:ascii="Quicksand" w:eastAsia="Quicksand" w:hAnsi="Quicksand" w:cs="Quicksand"/>
                <w:color w:val="1A1A1A"/>
                <w:sz w:val="18"/>
                <w:szCs w:val="18"/>
              </w:rPr>
              <w:t>Not included: GST assessment/litigation; physical verification; GST registration/cancellation; refund claims; EIC/customs clearance.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1" w14:textId="77777777" w:rsidR="00B073E6" w:rsidRDefault="00000000">
            <w:pPr>
              <w:spacing w:after="28" w:line="244" w:lineRule="auto"/>
            </w:pPr>
            <w:r>
              <w:rPr>
                <w:rFonts w:ascii="Quicksand" w:eastAsia="Quicksand" w:hAnsi="Quicksand" w:cs="Quicksand"/>
                <w:color w:val="1A1A1A"/>
                <w:sz w:val="18"/>
                <w:szCs w:val="18"/>
              </w:rPr>
              <w:t>Sales/purchase data and GST portal credentials by 5th of every month.</w:t>
            </w:r>
          </w:p>
          <w:p w14:paraId="000010D2" w14:textId="77777777" w:rsidR="00B073E6" w:rsidRDefault="00000000">
            <w:pPr>
              <w:spacing w:after="4" w:line="244" w:lineRule="auto"/>
            </w:pPr>
            <w:r>
              <w:rPr>
                <w:rFonts w:ascii="Quicksand" w:eastAsia="Quicksand" w:hAnsi="Quicksand" w:cs="Quicksand"/>
                <w:color w:val="1A1A1A"/>
                <w:sz w:val="18"/>
                <w:szCs w:val="18"/>
              </w:rPr>
              <w:t>E-invoice system access; export documentation and shipping details for LUT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color w:val="1A1A1A"/>
                <w:sz w:val="18"/>
                <w:szCs w:val="18"/>
              </w:rPr>
              <w:t>≤500 invoices in GSTR-1; ≤200 e-invoices; ≤300 purchase invoices reconciled/month.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4"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0D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D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7"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0D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D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F" w14:textId="77777777" w:rsidR="00B073E6" w:rsidRDefault="00000000">
            <w:pPr>
              <w:spacing w:after="28" w:line="244" w:lineRule="auto"/>
            </w:pPr>
            <w:r>
              <w:rPr>
                <w:rFonts w:ascii="Quicksand" w:eastAsia="Quicksand" w:hAnsi="Quicksand" w:cs="Quicksand"/>
                <w:b/>
                <w:bCs/>
                <w:color w:val="1B6B6B"/>
                <w:sz w:val="18"/>
                <w:szCs w:val="18"/>
              </w:rPr>
              <w:t>H1</w:t>
            </w:r>
          </w:p>
          <w:p w14:paraId="000010E0"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1"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E2"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E3"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E4"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E5"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E6"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7"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E8"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9"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E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E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D" w14:textId="77777777" w:rsidR="00B073E6" w:rsidRDefault="00000000">
            <w:pPr>
              <w:spacing w:after="28" w:line="244" w:lineRule="auto"/>
            </w:pPr>
            <w:r>
              <w:rPr>
                <w:rFonts w:ascii="Quicksand" w:eastAsia="Quicksand" w:hAnsi="Quicksand" w:cs="Quicksand"/>
                <w:b/>
                <w:bCs/>
                <w:color w:val="FFFFFF"/>
                <w:sz w:val="20"/>
                <w:szCs w:val="20"/>
              </w:rPr>
              <w:t xml:space="preserve">K.  Financial Due Diligence – Sell-Side</w:t>
            </w:r>
          </w:p>
        </w:tc>
      </w:tr>
      <w:tr w:rsidR="00B073E6" w14:paraId="000010E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F"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1"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2"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F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5" w14:textId="77777777" w:rsidR="00B073E6" w:rsidRDefault="00000000">
            <w:pPr>
              <w:spacing w:after="28" w:line="244" w:lineRule="auto"/>
            </w:pPr>
            <w:r>
              <w:rPr>
                <w:rFonts w:ascii="Quicksand" w:eastAsia="Quicksand" w:hAnsi="Quicksand" w:cs="Quicksand"/>
                <w:b/>
                <w:bCs/>
                <w:color w:val="1B6B6B"/>
                <w:sz w:val="18"/>
                <w:szCs w:val="18"/>
              </w:rPr>
              <w:t>K1</w:t>
            </w:r>
          </w:p>
          <w:p w14:paraId="000010F6" w14:textId="77777777" w:rsidR="00B073E6" w:rsidRDefault="00000000">
            <w:pPr>
              <w:spacing w:after="4" w:line="244" w:lineRule="auto"/>
            </w:pPr>
            <w:r>
              <w:rPr>
                <w:rFonts w:ascii="Quicksand" w:eastAsia="Quicksand" w:hAnsi="Quicksand" w:cs="Quicksand"/>
                <w:color w:val="1A1A1A"/>
                <w:sz w:val="18"/>
                <w:szCs w:val="18"/>
              </w:rPr>
              <w:t>Sell-Side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7" w14:textId="77777777" w:rsidR="00B073E6" w:rsidRDefault="00000000">
            <w:pPr>
              <w:spacing w:after="28" w:line="244" w:lineRule="auto"/>
            </w:pPr>
            <w:r>
              <w:rPr>
                <w:rFonts w:ascii="Quicksand" w:eastAsia="Quicksand" w:hAnsi="Quicksand" w:cs="Quicksand"/>
                <w:color w:val="1A1A1A"/>
                <w:sz w:val="18"/>
                <w:szCs w:val="18"/>
              </w:rPr>
              <w:t>Data Room Preparation and Structuring.</w:t>
            </w:r>
          </w:p>
          <w:p w14:paraId="000010F8" w14:textId="77777777" w:rsidR="00B073E6" w:rsidRDefault="00000000">
            <w:pPr>
              <w:spacing w:after="28" w:line="244" w:lineRule="auto"/>
            </w:pPr>
            <w:r>
              <w:rPr>
                <w:rFonts w:ascii="Quicksand" w:eastAsia="Quicksand" w:hAnsi="Quicksand" w:cs="Quicksand"/>
                <w:color w:val="1A1A1A"/>
                <w:sz w:val="18"/>
                <w:szCs w:val="18"/>
              </w:rPr>
              <w:t>Handling Information Request Lists (IRL).</w:t>
            </w:r>
          </w:p>
          <w:p w14:paraId="000010F9" w14:textId="77777777" w:rsidR="00B073E6" w:rsidRDefault="00000000">
            <w:pPr>
              <w:spacing w:after="28" w:line="244" w:lineRule="auto"/>
            </w:pPr>
            <w:r>
              <w:rPr>
                <w:rFonts w:ascii="Quicksand" w:eastAsia="Quicksand" w:hAnsi="Quicksand" w:cs="Quicksand"/>
                <w:color w:val="1A1A1A"/>
                <w:sz w:val="18"/>
                <w:szCs w:val="18"/>
              </w:rPr>
              <w:t>Investor Coordination and Diligence Calls.</w:t>
            </w:r>
          </w:p>
          <w:p w14:paraId="000010FA" w14:textId="77777777" w:rsidR="00B073E6" w:rsidRDefault="00000000">
            <w:pPr>
              <w:spacing w:after="28" w:line="244" w:lineRule="auto"/>
            </w:pPr>
            <w:r>
              <w:rPr>
                <w:rFonts w:ascii="Quicksand" w:eastAsia="Quicksand" w:hAnsi="Quicksand" w:cs="Quicksand"/>
                <w:color w:val="1A1A1A"/>
                <w:sz w:val="18"/>
                <w:szCs w:val="18"/>
              </w:rPr>
              <w:t>Founder Advisory and Internal Team Enablement.</w:t>
            </w:r>
          </w:p>
          <w:p w14:paraId="000010FB" w14:textId="77777777" w:rsidR="00B073E6" w:rsidRDefault="00000000">
            <w:pPr>
              <w:spacing w:after="28" w:line="244" w:lineRule="auto"/>
            </w:pPr>
            <w:r>
              <w:rPr>
                <w:rFonts w:ascii="Quicksand" w:eastAsia="Quicksand" w:hAnsi="Quicksand" w:cs="Quicksand"/>
                <w:color w:val="1A1A1A"/>
                <w:sz w:val="18"/>
                <w:szCs w:val="18"/>
              </w:rPr>
              <w:t>Managing Red Flags and Process Navigation.</w:t>
            </w:r>
          </w:p>
          <w:p w14:paraId="000010FC" w14:textId="77777777" w:rsidR="00B073E6" w:rsidRDefault="00000000">
            <w:pPr>
              <w:spacing w:after="28" w:line="244" w:lineRule="auto"/>
            </w:pPr>
            <w:r>
              <w:rPr>
                <w:rFonts w:ascii="Quicksand" w:eastAsia="Quicksand" w:hAnsi="Quicksand" w:cs="Quicksand"/>
                <w:color w:val="1A1A1A"/>
                <w:sz w:val="18"/>
                <w:szCs w:val="18"/>
              </w:rPr>
              <w:t>Ongoing support throughout diligence cycle.</w:t>
            </w:r>
          </w:p>
          <w:p w14:paraId="000010FD" w14:textId="77777777" w:rsidR="00B073E6" w:rsidRDefault="00000000">
            <w:pPr>
              <w:spacing w:after="28" w:line="244" w:lineRule="auto"/>
            </w:pPr>
            <w:r>
              <w:rPr>
                <w:rFonts w:ascii="Quicksand" w:eastAsia="Quicksand" w:hAnsi="Quicksand" w:cs="Quicksand"/>
                <w:color w:val="1A1A1A"/>
                <w:sz w:val="18"/>
                <w:szCs w:val="18"/>
              </w:rPr>
              <w:t>Not included: Legal advisory; investor negotiations; valuation services.</w:t>
            </w:r>
          </w:p>
          <w:p w14:paraId="000010FE" w14:textId="77777777" w:rsidR="00B073E6" w:rsidRDefault="00000000">
            <w:pPr>
              <w:spacing w:after="28" w:line="244" w:lineRule="auto"/>
            </w:pPr>
            <w:r>
              <w:rPr>
                <w:rFonts w:ascii="Quicksand" w:eastAsia="Quicksand" w:hAnsi="Quicksand" w:cs="Quicksand"/>
                <w:color w:val="1A1A1A"/>
                <w:sz w:val="18"/>
                <w:szCs w:val="18"/>
              </w:rPr>
              <w:t>Complete financial data; internal team coordination; facilitate investor meetings.</w:t>
            </w:r>
          </w:p>
          <w:p w14:paraId="000010FF" w14:textId="77777777" w:rsidR="00B073E6" w:rsidRDefault="00000000">
            <w:pPr>
              <w:spacing w:after="4" w:line="244" w:lineRule="auto"/>
            </w:pPr>
            <w:r>
              <w:rPr>
                <w:rFonts w:ascii="Quicksand" w:eastAsia="Quicksand" w:hAnsi="Quicksand" w:cs="Quicksand"/>
                <w:color w:val="1A1A1A"/>
                <w:sz w:val="18"/>
                <w:szCs w:val="18"/>
              </w:rPr>
              <w:t>Data room preparation; IRL response management; investor coordination; red flag identification.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0"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1"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2"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103" w14:textId="77777777" w:rsidR="00B073E6" w:rsidRDefault="00B073E6">
      <w:pPr>
        <w:spacing w:after="36"/>
      </w:pPr>
    </w:p>
    <w:p w14:paraId="00001104"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0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6"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7"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8"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9"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0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C"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D"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0"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1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2" w14:textId="77777777" w:rsidR="00B073E6" w:rsidRDefault="00000000">
            <w:pPr>
              <w:spacing w:after="4" w:line="244" w:lineRule="auto"/>
            </w:pPr>
            <w:r>
              <w:rPr>
                <w:rFonts w:ascii="Quicksand" w:eastAsia="Quicksand" w:hAnsi="Quicksand" w:cs="Quicksand"/>
                <w:b/>
                <w:bCs/>
                <w:color w:val="1B3A5C"/>
                <w:sz w:val="18"/>
                <w:szCs w:val="18"/>
              </w:rPr>
              <w:t>D</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b/>
                <w:bCs/>
                <w:color w:val="1B6B6B"/>
                <w:sz w:val="18"/>
                <w:szCs w:val="18"/>
              </w:rPr>
              <w:t>D1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4"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5"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6"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11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8" w14:textId="77777777" w:rsidR="00B073E6" w:rsidRDefault="00000000">
            <w:pPr>
              <w:spacing w:after="4" w:line="244" w:lineRule="auto"/>
            </w:pPr>
            <w:r>
              <w:rPr>
                <w:rFonts w:ascii="Quicksand" w:eastAsia="Quicksand" w:hAnsi="Quicksand" w:cs="Quicksand"/>
                <w:b/>
                <w:bCs/>
                <w:color w:val="1B3A5C"/>
                <w:sz w:val="18"/>
                <w:szCs w:val="18"/>
              </w:rPr>
              <w:t>K</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9" w14:textId="77777777" w:rsidR="00B073E6" w:rsidRDefault="00000000">
            <w:pPr>
              <w:spacing w:after="4" w:line="244" w:lineRule="auto"/>
            </w:pPr>
            <w:r>
              <w:rPr>
                <w:rFonts w:ascii="Quicksand" w:eastAsia="Quicksand" w:hAnsi="Quicksand" w:cs="Quicksand"/>
                <w:b/>
                <w:bCs/>
                <w:color w:val="1B6B6B"/>
                <w:sz w:val="18"/>
                <w:szCs w:val="18"/>
              </w:rPr>
              <w:t>K1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A" w14:textId="77777777" w:rsidR="00B073E6" w:rsidRDefault="00000000">
            <w:pPr>
              <w:spacing w:after="4" w:line="244" w:lineRule="auto"/>
            </w:pPr>
            <w:r>
              <w:rPr>
                <w:rFonts w:ascii="Quicksand" w:eastAsia="Quicksand" w:hAnsi="Quicksand" w:cs="Quicksand"/>
                <w:color w:val="1A1A1A"/>
                <w:sz w:val="18"/>
                <w:szCs w:val="18"/>
              </w:rPr>
              <w:t>Sell-Side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B"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C"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11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1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F"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2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2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2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2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2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2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31"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3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0"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4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4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7"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B"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1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D"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1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F"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1"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1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3"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1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5"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9"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B"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D"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F"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1"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1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3"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5"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1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7"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9"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1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B"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1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D"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1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F"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1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1"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1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3"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5"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17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7"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1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9"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1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B"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1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D"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1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F"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1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1"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1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3"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1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5"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1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7"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1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9"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1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B"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1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D"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1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F"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1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1"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1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3"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1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5"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1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7"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1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9"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1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B"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1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D"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