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E1" w14:textId="77777777" w:rsidR="002549F2" w:rsidRDefault="002549F2">
      <w:pPr>
        <w:spacing w:before="40" w:after="60" w:line="276" w:lineRule="auto"/>
        <w:jc w:val="right"/>
        <w:rPr>
          <w:rFonts w:ascii="Quicksand" w:eastAsia="Quicksand" w:hAnsi="Quicksand" w:cs="Quicksand"/>
          <w:sz w:val="22"/>
          <w:szCs w:val="22"/>
        </w:rPr>
      </w:pPr>
      <w:r>
        <w:rPr>
          <w:rFonts w:ascii="Quicksand" w:eastAsia="Quicksand" w:hAnsi="Quicksand" w:cs="Quicksand"/>
          <w:sz w:val="22"/>
          <w:szCs w:val="22"/>
        </w:rPr>
        <w:t xml:space="preserve">Date 2026-05-29</w:t>
      </w:r>
    </w:p>
    <w:p w14:paraId="000012CC"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b/>
          <w:sz w:val="22"/>
          <w:szCs w:val="22"/>
        </w:rPr>
        <w:t xml:space="preserve">MultiTV Tech Solutions Pvt Ltd</w:t>
      </w:r>
    </w:p>
    <w:p w14:paraId="000012CD"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b/>
          <w:sz w:val="22"/>
          <w:szCs w:val="22"/>
        </w:rPr>
        <w:t xml:space="preserve">MultiTV Tech Solutions Pvt Ltd</w:t>
      </w:r>
    </w:p>
    <w:p w14:paraId="000012CE"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b/>
          <w:sz w:val="22"/>
          <w:szCs w:val="22"/>
        </w:rPr>
        <w:t xml:space="preserve">Sub: Engagement Letter for MultiTV Tech Solutions Pvt Ltd. - Financial Year 26-27</w:t>
      </w:r>
    </w:p>
    <w:p w14:paraId="000012CF"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Hi MultiTV,</w:t>
      </w:r>
    </w:p>
    <w:p w14:paraId="000012D0"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2D1"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2D2"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2D3"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Yours sincerely,</w:t>
      </w:r>
    </w:p>
    <w:p w14:paraId="000012D4"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______________________________________________</w:t>
      </w:r>
    </w:p>
    <w:p w14:paraId="000012D5"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b/>
          <w:sz w:val="22"/>
          <w:szCs w:val="22"/>
        </w:rPr>
        <w:t xml:space="preserve">Siddharth Kohli</w:t>
      </w:r>
    </w:p>
    <w:p w14:paraId="000012D6"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b/>
          <w:sz w:val="22"/>
          <w:szCs w:val="22"/>
        </w:rPr>
        <w:t xml:space="preserve">CEO / Founder</w:t>
      </w:r>
    </w:p>
    <w:p w14:paraId="000012D7"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Email : </w:t>
      </w:r>
      <w:r>
        <w:rPr>
          <w:rFonts w:ascii="Quicksand" w:eastAsia="Quicksand" w:hAnsi="Quicksand" w:cs="Quicksand"/>
          <w:color w:val="0563C1"/>
          <w:u w:val="single"/>
          <w:sz w:val="22"/>
          <w:szCs w:val="22"/>
        </w:rPr>
        <w:t xml:space="preserve">siddharth@10xglobal.in</w:t>
      </w:r>
    </w:p>
    <w:p w14:paraId="000012D8"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Phone : —</w:t>
      </w:r>
    </w:p>
    <w:p w14:paraId="000012D9" w14:textId="77777777" w:rsidR="002549F2" w:rsidRDefault="002549F2">
      <w:pPr>
        <w:spacing w:before="40" w:after="60" w:line="276" w:lineRule="auto"/>
        <w:jc w:val="center"/>
        <w:rPr>
          <w:rFonts w:ascii="Quicksand" w:eastAsia="Quicksand" w:hAnsi="Quicksand" w:cs="Quicksand"/>
          <w:sz w:val="22"/>
          <w:szCs w:val="22"/>
        </w:rPr>
      </w:pPr>
      <w:r>
        <w:rPr>
          <w:rFonts w:ascii="Quicksand" w:eastAsia="Quicksand" w:hAnsi="Quicksand" w:cs="Quicksand"/>
          <w:b/>
          <w:sz w:val="22"/>
          <w:szCs w:val="22"/>
        </w:rPr>
        <w:t xml:space="preserve">Acceptance</w:t>
      </w:r>
    </w:p>
    <w:p w14:paraId="000012DA"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The scope of the Services is sufficient for our purposes and the terms of this engagement are accepted on behalf of MultiTV</w:t>
      </w:r>
    </w:p>
    <w:p w14:paraId="000012DB"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________________________________________________________________________________________</w:t>
      </w:r>
    </w:p>
    <w:p w14:paraId="000012DC" w14:textId="77777777" w:rsidR="002549F2" w:rsidRDefault="002549F2">
      <w:pPr>
        <w:spacing w:before="40" w:after="60" w:line="276" w:lineRule="auto"/>
        <w:jc w:val="center"/>
        <w:rPr>
          <w:rFonts w:ascii="Quicksand" w:eastAsia="Quicksand" w:hAnsi="Quicksand" w:cs="Quicksand"/>
          <w:sz w:val="22"/>
          <w:szCs w:val="22"/>
        </w:rPr>
      </w:pPr>
      <w:r>
        <w:rPr>
          <w:rFonts w:ascii="Quicksand" w:eastAsia="Quicksand" w:hAnsi="Quicksand" w:cs="Quicksand"/>
          <w:b/>
          <w:sz w:val="22"/>
          <w:szCs w:val="22"/>
        </w:rPr>
        <w:t xml:space="preserve">Authorized signatory</w:t>
      </w:r>
    </w:p>
    <w:p w14:paraId="000012DD" w14:textId="77777777" w:rsidR="002549F2" w:rsidRDefault="002549F2">
      <w:pPr>
        <w:spacing w:before="40" w:after="60" w:line="276" w:lineRule="auto"/>
        <w:jc w:val="center"/>
        <w:rPr>
          <w:rFonts w:ascii="Quicksand" w:eastAsia="Quicksand" w:hAnsi="Quicksand" w:cs="Quicksand"/>
          <w:sz w:val="22"/>
          <w:szCs w:val="22"/>
        </w:rPr>
      </w:pPr>
      <w:r>
        <w:rPr>
          <w:rFonts w:ascii="Quicksand" w:eastAsia="Quicksand" w:hAnsi="Quicksand" w:cs="Quicksand"/>
          <w:b/>
          <w:sz w:val="22"/>
          <w:szCs w:val="22"/>
        </w:rPr>
        <w:t xml:space="preserve">10X Global Pvt Ltd</w:t>
      </w:r>
    </w:p>
    <w:p w14:paraId="000012DE" w14:textId="77777777" w:rsidR="002549F2" w:rsidRDefault="002549F2">
      <w:pPr>
        <w:spacing w:before="40" w:after="60" w:line="276" w:lineRule="auto"/>
        <w:jc w:val="center"/>
        <w:rPr>
          <w:rFonts w:ascii="Quicksand" w:eastAsia="Quicksand" w:hAnsi="Quicksand" w:cs="Quicksand"/>
          <w:sz w:val="22"/>
          <w:szCs w:val="22"/>
        </w:rPr>
      </w:pPr>
      <w:r>
        <w:rPr>
          <w:rFonts w:ascii="Quicksand" w:eastAsia="Quicksand" w:hAnsi="Quicksand" w:cs="Quicksand"/>
          <w:color w:val="666666"/>
          <w:sz w:val="20"/>
          <w:szCs w:val="20"/>
        </w:rPr>
        <w:t xml:space="preserve">2/6, 2nd floor, West Patel Nagar, New Delhi 110008 India</w:t>
      </w:r>
    </w:p>
    <w:p w14:paraId="000012DF" w14:textId="77777777" w:rsidR="002549F2" w:rsidRDefault="002549F2">
      <w:pPr>
        <w:spacing w:before="40" w:after="60" w:line="276" w:lineRule="auto"/>
        <w:jc w:val="center"/>
        <w:rPr>
          <w:rFonts w:ascii="Quicksand" w:eastAsia="Quicksand" w:hAnsi="Quicksand" w:cs="Quicksand"/>
          <w:sz w:val="22"/>
          <w:szCs w:val="22"/>
        </w:rPr>
      </w:pPr>
      <w:r>
        <w:rPr>
          <w:rFonts w:ascii="Quicksand" w:eastAsia="Quicksand" w:hAnsi="Quicksand" w:cs="Quicksand"/>
          <w:color w:val="666666"/>
          <w:sz w:val="20"/>
          <w:szCs w:val="20"/>
        </w:rPr>
        <w:t xml:space="preserve">www.10x.global | info@10x.global</w:t>
      </w:r>
    </w:p>
    <w:p w14:paraId="000012E0"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E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2E3" w14:textId="77777777" w:rsidR="00B073E6" w:rsidRDefault="00000000">
            <w:pPr>
              <w:spacing w:after="28" w:line="244" w:lineRule="auto"/>
            </w:pPr>
            <w:r>
              <w:rPr>
                <w:rFonts w:ascii="Quicksand" w:eastAsia="Quicksand" w:hAnsi="Quicksand" w:cs="Quicksand"/>
                <w:b/>
                <w:bCs/>
                <w:color w:val="C0252D"/>
                <w:sz w:val="22"/>
                <w:szCs w:val="22"/>
              </w:rPr>
              <w:t xml:space="preserve">Background: </w:t>
            </w:r>
            <w:r>
              <w:rPr>
                <w:rFonts w:ascii="Quicksand" w:eastAsia="Quicksand" w:hAnsi="Quicksand" w:cs="Quicksand"/>
                <w:color w:val="1A1A1A"/>
                <w:sz w:val="22"/>
                <w:szCs w:val="22"/>
              </w:rPr>
              <w:t>MultiTV Tech Solutions Pvt Ltd is a leading company that provides quality services and solutions to its clients.</w:t>
            </w:r>
          </w:p>
        </w:tc>
      </w:tr>
    </w:tbl>
    <w:p w14:paraId="000012E4" w14:textId="77777777" w:rsidR="00B073E6" w:rsidRDefault="00B073E6">
      <w:pPr>
        <w:spacing w:after="36"/>
      </w:pPr>
    </w:p>
    <w:p w14:paraId="000012E5" w14:textId="77777777" w:rsidR="002549F2" w:rsidRDefault="002549F2">
      <w:pPr>
        <w:spacing w:before="140" w:after="120" w:line="260" w:lineRule="auto"/>
        <w:rPr>
          <w:rFonts w:ascii="Quicksand" w:eastAsia="Quicksand" w:hAnsi="Quicksand" w:cs="Quicksand"/>
          <w:b/>
          <w:color w:val="A31134"/>
          <w:sz w:val="22"/>
          <w:szCs w:val="22"/>
        </w:rPr>
      </w:pPr>
      <w:r>
        <w:rPr>
          <w:rFonts w:ascii="Quicksand" w:eastAsia="Quicksand" w:hAnsi="Quicksand" w:cs="Quicksand"/>
          <w:b/>
          <w:color w:val="A31134"/>
          <w:sz w:val="22"/>
          <w:szCs w:val="22"/>
        </w:rPr>
        <w:t>India</w:t>
      </w:r>
    </w:p>
    <w:p w14:paraId="000012E6" w14:textId="77777777" w:rsidR="002549F2" w:rsidRDefault="002549F2">
      <w:pPr>
        <w:spacing w:before="40" w:after="40" w:line="220" w:lineRule="auto"/>
      </w:pPr>
      <w:r>
        <w:rPr>
          <w:rFonts w:ascii="Quicksand" w:eastAsia="Quicksand" w:hAnsi="Quicksand" w:cs="Quicksand"/>
          <w:sz w:val="22"/>
          <w:szCs w:val="22"/>
        </w:rPr>
        <w:t xml:space="preserve"> </w:t>
      </w:r>
    </w:p>
    <w:p w14:paraId="000012E7"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2E8"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E9"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EA" w14:textId="77777777" w:rsidR="00B073E6" w:rsidRDefault="00B073E6">
            <w:pPr>
              <w:spacing w:after="28" w:line="244" w:lineRule="auto"/>
              <w:jc w:val="right"/>
            </w:pPr>
          </w:p>
        </w:tc>
      </w:tr>
      <w:tr w:rsidR="00B073E6" w14:paraId="000012EB"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C" w14:textId="77777777" w:rsidR="00B073E6" w:rsidRDefault="00000000">
            <w:pPr>
              <w:spacing w:after="28" w:line="244" w:lineRule="auto"/>
            </w:pPr>
            <w:r>
              <w:rPr>
                <w:rFonts w:ascii="Quicksand" w:eastAsia="Quicksand" w:hAnsi="Quicksand" w:cs="Quicksand"/>
                <w:b/>
                <w:bCs/>
                <w:color w:val="1B6B6B"/>
                <w:sz w:val="18"/>
                <w:szCs w:val="18"/>
              </w:rPr>
              <w:t>D.</w:t>
            </w:r>
            <w:r>
              <w:rPr>
                <w:rFonts w:ascii="Quicksand" w:eastAsia="Quicksand" w:hAnsi="Quicksand" w:cs="Quicksand"/>
                <w:color w:val="1A1A1A"/>
                <w:sz w:val="18"/>
                <w:szCs w:val="18"/>
              </w:rPr>
              <w:t xml:space="preserve">  GST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D"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2EE"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EF"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F0"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2F1"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F2" w14:textId="77777777" w:rsidR="00B073E6" w:rsidRDefault="00000000">
            <w:pPr>
              <w:spacing w:after="28" w:line="244" w:lineRule="auto"/>
            </w:pPr>
            <w:r>
              <w:rPr>
                <w:rFonts w:ascii="Quicksand" w:eastAsia="Quicksand" w:hAnsi="Quicksand" w:cs="Quicksand"/>
                <w:b/>
                <w:bCs/>
                <w:color w:val="1B6B6B"/>
                <w:sz w:val="18"/>
                <w:szCs w:val="18"/>
              </w:rPr>
              <w:t>K.</w:t>
            </w:r>
            <w:r>
              <w:rPr>
                <w:rFonts w:ascii="Quicksand" w:eastAsia="Quicksand" w:hAnsi="Quicksand" w:cs="Quicksand"/>
                <w:color w:val="1A1A1A"/>
                <w:sz w:val="18"/>
                <w:szCs w:val="18"/>
              </w:rPr>
              <w:t xml:space="preserve">  Financial Due Diligence – Sell-Side</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F3"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2F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2F5"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F6" w14:textId="77777777" w:rsidR="00B073E6" w:rsidRDefault="00000000">
            <w:pPr>
              <w:spacing w:after="28" w:line="244" w:lineRule="auto"/>
            </w:pPr>
            <w:r>
              <w:rPr>
                <w:rFonts w:ascii="Quicksand" w:eastAsia="Quicksand" w:hAnsi="Quicksand" w:cs="Quicksand"/>
                <w:b/>
                <w:bCs/>
                <w:color w:val="FFFFFF"/>
                <w:sz w:val="22"/>
                <w:szCs w:val="22"/>
              </w:rPr>
              <w:t xml:space="preserve">D.  GST Compliances</w:t>
            </w:r>
          </w:p>
        </w:tc>
      </w:tr>
      <w:tr w:rsidR="00B073E6" w14:paraId="000012F7"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F8"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F9"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FA"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FB"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FC"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F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FE" w14:textId="77777777" w:rsidR="00B073E6" w:rsidRDefault="00000000">
            <w:pPr>
              <w:spacing w:after="28" w:line="244" w:lineRule="auto"/>
            </w:pPr>
            <w:r>
              <w:rPr>
                <w:rFonts w:ascii="Quicksand" w:eastAsia="Quicksand" w:hAnsi="Quicksand" w:cs="Quicksand"/>
                <w:b/>
                <w:bCs/>
                <w:color w:val="1B6B6B"/>
                <w:sz w:val="18"/>
                <w:szCs w:val="18"/>
              </w:rPr>
              <w:t>D1</w:t>
            </w:r>
          </w:p>
          <w:p w14:paraId="000012FF" w14:textId="77777777" w:rsidR="00B073E6" w:rsidRDefault="00000000">
            <w:pPr>
              <w:spacing w:after="4" w:line="244" w:lineRule="auto"/>
            </w:pPr>
            <w:r>
              <w:rPr>
                <w:rFonts w:ascii="Quicksand" w:eastAsia="Quicksand" w:hAnsi="Quicksand" w:cs="Quicksand"/>
                <w:color w:val="1A1A1A"/>
                <w:sz w:val="18"/>
                <w:szCs w:val="18"/>
              </w:rPr>
              <w:t>Monthly Compliances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00" w14:textId="77777777" w:rsidR="00B073E6" w:rsidRDefault="00000000">
            <w:pPr>
              <w:spacing w:after="28" w:line="244" w:lineRule="auto"/>
            </w:pPr>
            <w:r>
              <w:rPr>
                <w:rFonts w:ascii="Quicksand" w:eastAsia="Quicksand" w:hAnsi="Quicksand" w:cs="Quicksand"/>
                <w:color w:val="1A1A1A"/>
                <w:sz w:val="18"/>
                <w:szCs w:val="18"/>
              </w:rPr>
              <w:t>GSTR-1 (outward supplies) and GSTR-3B (summary return + tax payment) filing.</w:t>
            </w:r>
          </w:p>
          <w:p w14:paraId="00001301" w14:textId="77777777" w:rsidR="00B073E6" w:rsidRDefault="00000000">
            <w:pPr>
              <w:spacing w:after="28" w:line="244" w:lineRule="auto"/>
            </w:pPr>
            <w:r>
              <w:rPr>
                <w:rFonts w:ascii="Quicksand" w:eastAsia="Quicksand" w:hAnsi="Quicksand" w:cs="Quicksand"/>
                <w:color w:val="1A1A1A"/>
                <w:sz w:val="18"/>
                <w:szCs w:val="18"/>
              </w:rPr>
              <w:t>GSTR-2A/2B reconciliation; ITC balance reconciliation; periodic amendments in returns.</w:t>
            </w:r>
          </w:p>
          <w:p w14:paraId="00001302" w14:textId="77777777" w:rsidR="00B073E6" w:rsidRDefault="00000000">
            <w:pPr>
              <w:spacing w:after="28" w:line="244" w:lineRule="auto"/>
            </w:pPr>
            <w:r>
              <w:rPr>
                <w:rFonts w:ascii="Quicksand" w:eastAsia="Quicksand" w:hAnsi="Quicksand" w:cs="Quicksand"/>
                <w:color w:val="1A1A1A"/>
                <w:sz w:val="18"/>
                <w:szCs w:val="18"/>
              </w:rPr>
              <w:t>E-invoice, e-way bill and delivery challan generation.</w:t>
            </w:r>
          </w:p>
          <w:p w14:paraId="00001303" w14:textId="77777777" w:rsidR="00B073E6" w:rsidRDefault="00000000">
            <w:pPr>
              <w:spacing w:after="28" w:line="244" w:lineRule="auto"/>
            </w:pPr>
            <w:r>
              <w:rPr>
                <w:rFonts w:ascii="Quicksand" w:eastAsia="Quicksand" w:hAnsi="Quicksand" w:cs="Quicksand"/>
                <w:color w:val="1A1A1A"/>
                <w:sz w:val="18"/>
                <w:szCs w:val="18"/>
              </w:rPr>
              <w:t>Vendor/customer liaison for ITC corrections.</w:t>
            </w:r>
          </w:p>
          <w:p w14:paraId="00001304" w14:textId="77777777" w:rsidR="00B073E6" w:rsidRDefault="00000000">
            <w:pPr>
              <w:spacing w:after="4" w:line="244" w:lineRule="auto"/>
            </w:pPr>
            <w:r>
              <w:rPr>
                <w:rFonts w:ascii="Quicksand" w:eastAsia="Quicksand" w:hAnsi="Quicksand" w:cs="Quicksand"/>
                <w:color w:val="1A1A1A"/>
                <w:sz w:val="18"/>
                <w:szCs w:val="18"/>
              </w:rPr>
              <w:t>Not included: GST assessment/litigation; physical verification; GST registration/cancellation; refund claims; EIC/customs clearance.</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05" w14:textId="77777777" w:rsidR="00B073E6" w:rsidRDefault="00000000">
            <w:pPr>
              <w:spacing w:after="28" w:line="244" w:lineRule="auto"/>
            </w:pPr>
            <w:r>
              <w:rPr>
                <w:rFonts w:ascii="Quicksand" w:eastAsia="Quicksand" w:hAnsi="Quicksand" w:cs="Quicksand"/>
                <w:color w:val="1A1A1A"/>
                <w:sz w:val="18"/>
                <w:szCs w:val="18"/>
              </w:rPr>
              <w:t>Sales/purchase data and GST portal credentials by 5th of every month.</w:t>
            </w:r>
          </w:p>
          <w:p w14:paraId="00001306" w14:textId="77777777" w:rsidR="00B073E6" w:rsidRDefault="00000000">
            <w:pPr>
              <w:spacing w:after="4" w:line="244" w:lineRule="auto"/>
            </w:pPr>
            <w:r>
              <w:rPr>
                <w:rFonts w:ascii="Quicksand" w:eastAsia="Quicksand" w:hAnsi="Quicksand" w:cs="Quicksand"/>
                <w:color w:val="1A1A1A"/>
                <w:sz w:val="18"/>
                <w:szCs w:val="18"/>
              </w:rPr>
              <w:t>E-invoice system access; export documentation and shipping details for LUT compliance.</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07" w14:textId="77777777" w:rsidR="00B073E6" w:rsidRDefault="00000000">
            <w:pPr>
              <w:spacing w:after="4" w:line="244" w:lineRule="auto"/>
            </w:pPr>
            <w:r>
              <w:rPr>
                <w:rFonts w:ascii="Quicksand" w:eastAsia="Quicksand" w:hAnsi="Quicksand" w:cs="Quicksand"/>
                <w:color w:val="1A1A1A"/>
                <w:sz w:val="18"/>
                <w:szCs w:val="18"/>
              </w:rPr>
              <w:t>≤500 invoices in GSTR-1; ≤200 e-invoices; ≤300 purchase invoices reconciled/month.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08"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30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30A"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0B" w14:textId="77777777" w:rsidR="00B073E6" w:rsidRDefault="00000000">
            <w:pPr>
              <w:spacing w:after="28" w:line="244" w:lineRule="auto"/>
            </w:pPr>
            <w:r>
              <w:rPr>
                <w:rFonts w:ascii="Quicksand" w:eastAsia="Quicksand" w:hAnsi="Quicksand" w:cs="Quicksand"/>
                <w:b/>
                <w:bCs/>
                <w:color w:val="FFFFFF"/>
                <w:sz w:val="22"/>
                <w:szCs w:val="22"/>
              </w:rPr>
              <w:t xml:space="preserve">H.  Audits</w:t>
            </w:r>
          </w:p>
        </w:tc>
      </w:tr>
      <w:tr w:rsidR="00B073E6" w14:paraId="0000130C"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0D"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0E"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0F"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10"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11"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31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13" w14:textId="77777777" w:rsidR="00B073E6" w:rsidRDefault="00000000">
            <w:pPr>
              <w:spacing w:after="28" w:line="244" w:lineRule="auto"/>
            </w:pPr>
            <w:r>
              <w:rPr>
                <w:rFonts w:ascii="Quicksand" w:eastAsia="Quicksand" w:hAnsi="Quicksand" w:cs="Quicksand"/>
                <w:b/>
                <w:bCs/>
                <w:color w:val="1B6B6B"/>
                <w:sz w:val="18"/>
                <w:szCs w:val="18"/>
              </w:rPr>
              <w:t>H1</w:t>
            </w:r>
          </w:p>
          <w:p w14:paraId="00001314"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15"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316"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317"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318"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319"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31A"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1B"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31C"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1D"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1E"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31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320"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21" w14:textId="77777777" w:rsidR="00B073E6" w:rsidRDefault="00000000">
            <w:pPr>
              <w:spacing w:after="28" w:line="244" w:lineRule="auto"/>
            </w:pPr>
            <w:r>
              <w:rPr>
                <w:rFonts w:ascii="Quicksand" w:eastAsia="Quicksand" w:hAnsi="Quicksand" w:cs="Quicksand"/>
                <w:b/>
                <w:bCs/>
                <w:color w:val="FFFFFF"/>
                <w:sz w:val="22"/>
                <w:szCs w:val="22"/>
              </w:rPr>
              <w:t xml:space="preserve">K.  Financial Due Diligence – Sell-Side</w:t>
            </w:r>
          </w:p>
        </w:tc>
      </w:tr>
      <w:tr w:rsidR="00B073E6" w14:paraId="00001322"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23"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24"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25"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26"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27"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328"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29" w14:textId="77777777" w:rsidR="00B073E6" w:rsidRDefault="00000000">
            <w:pPr>
              <w:spacing w:after="28" w:line="244" w:lineRule="auto"/>
            </w:pPr>
            <w:r>
              <w:rPr>
                <w:rFonts w:ascii="Quicksand" w:eastAsia="Quicksand" w:hAnsi="Quicksand" w:cs="Quicksand"/>
                <w:b/>
                <w:bCs/>
                <w:color w:val="1B6B6B"/>
                <w:sz w:val="18"/>
                <w:szCs w:val="18"/>
              </w:rPr>
              <w:t>K1</w:t>
            </w:r>
          </w:p>
          <w:p w14:paraId="0000132A" w14:textId="77777777" w:rsidR="00B073E6" w:rsidRDefault="00000000">
            <w:pPr>
              <w:spacing w:after="4" w:line="244" w:lineRule="auto"/>
            </w:pPr>
            <w:r>
              <w:rPr>
                <w:rFonts w:ascii="Quicksand" w:eastAsia="Quicksand" w:hAnsi="Quicksand" w:cs="Quicksand"/>
                <w:color w:val="1A1A1A"/>
                <w:sz w:val="18"/>
                <w:szCs w:val="18"/>
              </w:rPr>
              <w:t>Sell-Side FDD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2B" w14:textId="77777777" w:rsidR="00B073E6" w:rsidRDefault="00000000">
            <w:pPr>
              <w:spacing w:after="28" w:line="244" w:lineRule="auto"/>
            </w:pPr>
            <w:r>
              <w:rPr>
                <w:rFonts w:ascii="Quicksand" w:eastAsia="Quicksand" w:hAnsi="Quicksand" w:cs="Quicksand"/>
                <w:color w:val="1A1A1A"/>
                <w:sz w:val="18"/>
                <w:szCs w:val="18"/>
              </w:rPr>
              <w:t>Data Room Preparation and Structuring.</w:t>
            </w:r>
          </w:p>
          <w:p w14:paraId="0000132C" w14:textId="77777777" w:rsidR="00B073E6" w:rsidRDefault="00000000">
            <w:pPr>
              <w:spacing w:after="28" w:line="244" w:lineRule="auto"/>
            </w:pPr>
            <w:r>
              <w:rPr>
                <w:rFonts w:ascii="Quicksand" w:eastAsia="Quicksand" w:hAnsi="Quicksand" w:cs="Quicksand"/>
                <w:color w:val="1A1A1A"/>
                <w:sz w:val="18"/>
                <w:szCs w:val="18"/>
              </w:rPr>
              <w:t>Handling Information Request Lists (IRL).</w:t>
            </w:r>
          </w:p>
          <w:p w14:paraId="0000132D" w14:textId="77777777" w:rsidR="00B073E6" w:rsidRDefault="00000000">
            <w:pPr>
              <w:spacing w:after="28" w:line="244" w:lineRule="auto"/>
            </w:pPr>
            <w:r>
              <w:rPr>
                <w:rFonts w:ascii="Quicksand" w:eastAsia="Quicksand" w:hAnsi="Quicksand" w:cs="Quicksand"/>
                <w:color w:val="1A1A1A"/>
                <w:sz w:val="18"/>
                <w:szCs w:val="18"/>
              </w:rPr>
              <w:t>Investor Coordination and Diligence Calls.</w:t>
            </w:r>
          </w:p>
          <w:p w14:paraId="0000132E" w14:textId="77777777" w:rsidR="00B073E6" w:rsidRDefault="00000000">
            <w:pPr>
              <w:spacing w:after="28" w:line="244" w:lineRule="auto"/>
            </w:pPr>
            <w:r>
              <w:rPr>
                <w:rFonts w:ascii="Quicksand" w:eastAsia="Quicksand" w:hAnsi="Quicksand" w:cs="Quicksand"/>
                <w:color w:val="1A1A1A"/>
                <w:sz w:val="18"/>
                <w:szCs w:val="18"/>
              </w:rPr>
              <w:t>Founder Advisory and Internal Team Enablement.</w:t>
            </w:r>
          </w:p>
          <w:p w14:paraId="0000132F" w14:textId="77777777" w:rsidR="00B073E6" w:rsidRDefault="00000000">
            <w:pPr>
              <w:spacing w:after="28" w:line="244" w:lineRule="auto"/>
            </w:pPr>
            <w:r>
              <w:rPr>
                <w:rFonts w:ascii="Quicksand" w:eastAsia="Quicksand" w:hAnsi="Quicksand" w:cs="Quicksand"/>
                <w:color w:val="1A1A1A"/>
                <w:sz w:val="18"/>
                <w:szCs w:val="18"/>
              </w:rPr>
              <w:t>Managing Red Flags and Process Navigation.</w:t>
            </w:r>
          </w:p>
          <w:p w14:paraId="00001330" w14:textId="77777777" w:rsidR="00B073E6" w:rsidRDefault="00000000">
            <w:pPr>
              <w:spacing w:after="28" w:line="244" w:lineRule="auto"/>
            </w:pPr>
            <w:r>
              <w:rPr>
                <w:rFonts w:ascii="Quicksand" w:eastAsia="Quicksand" w:hAnsi="Quicksand" w:cs="Quicksand"/>
                <w:color w:val="1A1A1A"/>
                <w:sz w:val="18"/>
                <w:szCs w:val="18"/>
              </w:rPr>
              <w:t>Ongoing support throughout diligence cycle.</w:t>
            </w:r>
          </w:p>
          <w:p w14:paraId="00001331" w14:textId="77777777" w:rsidR="00B073E6" w:rsidRDefault="00000000">
            <w:pPr>
              <w:spacing w:after="28" w:line="244" w:lineRule="auto"/>
            </w:pPr>
            <w:r>
              <w:rPr>
                <w:rFonts w:ascii="Quicksand" w:eastAsia="Quicksand" w:hAnsi="Quicksand" w:cs="Quicksand"/>
                <w:color w:val="1A1A1A"/>
                <w:sz w:val="18"/>
                <w:szCs w:val="18"/>
              </w:rPr>
              <w:t>Not included: Legal advisory; investor negotiations; valuation services.</w:t>
            </w:r>
          </w:p>
          <w:p w14:paraId="00001332" w14:textId="77777777" w:rsidR="00B073E6" w:rsidRDefault="00000000">
            <w:pPr>
              <w:spacing w:after="28" w:line="244" w:lineRule="auto"/>
            </w:pPr>
            <w:r>
              <w:rPr>
                <w:rFonts w:ascii="Quicksand" w:eastAsia="Quicksand" w:hAnsi="Quicksand" w:cs="Quicksand"/>
                <w:color w:val="1A1A1A"/>
                <w:sz w:val="18"/>
                <w:szCs w:val="18"/>
              </w:rPr>
              <w:t>Complete financial data; internal team coordination; facilitate investor meetings.</w:t>
            </w:r>
          </w:p>
          <w:p w14:paraId="00001333" w14:textId="77777777" w:rsidR="00B073E6" w:rsidRDefault="00000000">
            <w:pPr>
              <w:spacing w:after="4" w:line="244" w:lineRule="auto"/>
            </w:pPr>
            <w:r>
              <w:rPr>
                <w:rFonts w:ascii="Quicksand" w:eastAsia="Quicksand" w:hAnsi="Quicksand" w:cs="Quicksand"/>
                <w:color w:val="1A1A1A"/>
                <w:sz w:val="18"/>
                <w:szCs w:val="18"/>
              </w:rPr>
              <w:t>Data room preparation; IRL response management; investor coordination; red flag identification.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34"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35"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36" w14:textId="77777777" w:rsidR="00B073E6" w:rsidRDefault="00000000">
            <w:pPr>
              <w:spacing w:after="4" w:line="244" w:lineRule="auto"/>
              <w:jc w:val="right"/>
            </w:pPr>
            <w:r>
              <w:rPr>
                <w:rFonts w:ascii="Quicksand" w:eastAsia="Quicksand" w:hAnsi="Quicksand" w:cs="Quicksand"/>
                <w:b/>
                <w:bCs/>
                <w:color w:val="1B3A5C"/>
                <w:sz w:val="18"/>
                <w:szCs w:val="18"/>
              </w:rPr>
              <w:t>₹400,000 one-time</w:t>
            </w:r>
          </w:p>
        </w:tc>
      </w:tr>
    </w:tbl>
    <w:p w14:paraId="00001337" w14:textId="77777777" w:rsidR="00B073E6" w:rsidRDefault="00B073E6">
      <w:pPr>
        <w:spacing w:after="36"/>
      </w:pPr>
    </w:p>
    <w:p w14:paraId="00001338"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339"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A"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B"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C"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D"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E"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33F"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0"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1"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2"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3"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4"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345"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46" w14:textId="77777777" w:rsidR="00B073E6" w:rsidRDefault="00000000">
            <w:pPr>
              <w:spacing w:after="4" w:line="244" w:lineRule="auto"/>
            </w:pPr>
            <w:r>
              <w:rPr>
                <w:rFonts w:ascii="Quicksand" w:eastAsia="Quicksand" w:hAnsi="Quicksand" w:cs="Quicksand"/>
                <w:b/>
                <w:bCs/>
                <w:color w:val="1B3A5C"/>
                <w:sz w:val="18"/>
                <w:szCs w:val="18"/>
              </w:rPr>
              <w:t>D</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47" w14:textId="77777777" w:rsidR="00B073E6" w:rsidRDefault="00000000">
            <w:pPr>
              <w:spacing w:after="4" w:line="244" w:lineRule="auto"/>
            </w:pPr>
            <w:r>
              <w:rPr>
                <w:rFonts w:ascii="Quicksand" w:eastAsia="Quicksand" w:hAnsi="Quicksand" w:cs="Quicksand"/>
                <w:b/>
                <w:bCs/>
                <w:color w:val="1B6B6B"/>
                <w:sz w:val="18"/>
                <w:szCs w:val="18"/>
              </w:rPr>
              <w:t>D1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48" w14:textId="77777777" w:rsidR="00B073E6" w:rsidRDefault="00000000">
            <w:pPr>
              <w:spacing w:after="4" w:line="244" w:lineRule="auto"/>
            </w:pPr>
            <w:r>
              <w:rPr>
                <w:rFonts w:ascii="Quicksand" w:eastAsia="Quicksand" w:hAnsi="Quicksand" w:cs="Quicksand"/>
                <w:color w:val="1A1A1A"/>
                <w:sz w:val="18"/>
                <w:szCs w:val="18"/>
              </w:rPr>
              <w:t>Monthly Compliances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49"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4A"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r w:rsidR="00B073E6" w14:paraId="0000134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C" w14:textId="77777777" w:rsidR="00B073E6" w:rsidRDefault="00000000">
            <w:pPr>
              <w:spacing w:after="4" w:line="244" w:lineRule="auto"/>
            </w:pPr>
            <w:r>
              <w:rPr>
                <w:rFonts w:ascii="Quicksand" w:eastAsia="Quicksand" w:hAnsi="Quicksand" w:cs="Quicksand"/>
                <w:b/>
                <w:bCs/>
                <w:color w:val="1B3A5C"/>
                <w:sz w:val="18"/>
                <w:szCs w:val="18"/>
              </w:rPr>
              <w:t>K</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D" w14:textId="77777777" w:rsidR="00B073E6" w:rsidRDefault="00000000">
            <w:pPr>
              <w:spacing w:after="4" w:line="244" w:lineRule="auto"/>
            </w:pPr>
            <w:r>
              <w:rPr>
                <w:rFonts w:ascii="Quicksand" w:eastAsia="Quicksand" w:hAnsi="Quicksand" w:cs="Quicksand"/>
                <w:b/>
                <w:bCs/>
                <w:color w:val="1B6B6B"/>
                <w:sz w:val="18"/>
                <w:szCs w:val="18"/>
              </w:rPr>
              <w:t>K1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E" w14:textId="77777777" w:rsidR="00B073E6" w:rsidRDefault="00000000">
            <w:pPr>
              <w:spacing w:after="4" w:line="244" w:lineRule="auto"/>
            </w:pPr>
            <w:r>
              <w:rPr>
                <w:rFonts w:ascii="Quicksand" w:eastAsia="Quicksand" w:hAnsi="Quicksand" w:cs="Quicksand"/>
                <w:color w:val="1A1A1A"/>
                <w:sz w:val="18"/>
                <w:szCs w:val="18"/>
              </w:rPr>
              <w:t>Sell-Side FDD</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F" w14:textId="77777777" w:rsidR="00B073E6" w:rsidRDefault="00000000">
            <w:pPr>
              <w:spacing w:after="4" w:line="244" w:lineRule="auto"/>
            </w:pPr>
            <w:r>
              <w:rPr>
                <w:rFonts w:ascii="Quicksand" w:eastAsia="Quicksand" w:hAnsi="Quicksand" w:cs="Quicksand"/>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50" w14:textId="77777777" w:rsidR="00B073E6" w:rsidRDefault="00000000">
            <w:pPr>
              <w:spacing w:after="4" w:line="244" w:lineRule="auto"/>
              <w:jc w:val="right"/>
            </w:pPr>
            <w:r>
              <w:rPr>
                <w:rFonts w:ascii="Quicksand" w:eastAsia="Quicksand" w:hAnsi="Quicksand" w:cs="Quicksand"/>
                <w:b/>
                <w:bCs/>
                <w:color w:val="1B3A5C"/>
                <w:sz w:val="18"/>
                <w:szCs w:val="18"/>
              </w:rPr>
              <w:t>₹400,000 one-time</w:t>
            </w:r>
          </w:p>
        </w:tc>
      </w:tr>
    </w:tbl>
    <w:p w14:paraId="0000135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352"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53" w14:textId="77777777" w:rsidR="00B073E6" w:rsidRDefault="00000000">
            <w:pPr>
              <w:spacing w:after="28" w:line="244" w:lineRule="auto"/>
            </w:pPr>
            <w:r>
              <w:rPr>
                <w:rFonts w:ascii="Quicksand" w:eastAsia="Quicksand" w:hAnsi="Quicksand" w:cs="Quicksand"/>
                <w:b/>
                <w:bCs/>
                <w:color w:val="FFFFFF"/>
                <w:sz w:val="22"/>
                <w:szCs w:val="22"/>
              </w:rPr>
              <w:t>Team Deployment &amp; Notes</w:t>
            </w:r>
          </w:p>
        </w:tc>
      </w:tr>
      <w:tr w:rsidR="00B073E6" w14:paraId="0000135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55"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56"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35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58"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59"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35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5B"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5C"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35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5E"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5F"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36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1"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2"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36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64"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65" w14:textId="77777777" w:rsidR="00B073E6" w:rsidRDefault="00000000">
            <w:pPr>
              <w:spacing w:after="28" w:line="244" w:lineRule="auto"/>
            </w:pPr>
            <w:r>
              <w:rPr>
                <w:rFonts w:ascii="Quicksand" w:eastAsia="Quicksand" w:hAnsi="Quicksand" w:cs="Quicksand"/>
                <w:b/>
                <w:bCs/>
                <w:color w:val="FFFFFF"/>
                <w:sz w:val="22"/>
                <w:szCs w:val="22"/>
              </w:rPr>
              <w:t>General Scope Exclusions</w:t>
            </w:r>
          </w:p>
        </w:tc>
      </w:tr>
      <w:tr w:rsidR="00B073E6" w14:paraId="0000136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67"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36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9"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36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6B"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36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D"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36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6F"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37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1"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37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73"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74" w14:textId="77777777" w:rsidR="00B073E6" w:rsidRDefault="00000000">
            <w:pPr>
              <w:spacing w:after="28" w:line="244" w:lineRule="auto"/>
            </w:pPr>
            <w:r>
              <w:rPr>
                <w:rFonts w:ascii="Quicksand" w:eastAsia="Quicksand" w:hAnsi="Quicksand" w:cs="Quicksand"/>
                <w:b/>
                <w:bCs/>
                <w:color w:val="FFFFFF"/>
                <w:sz w:val="22"/>
                <w:szCs w:val="22"/>
              </w:rPr>
              <w:t>Commercials</w:t>
            </w:r>
          </w:p>
        </w:tc>
      </w:tr>
      <w:tr w:rsidR="00B073E6" w14:paraId="0000137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6"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37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78"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37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7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7B" w14:textId="77777777" w:rsidR="00B073E6" w:rsidRDefault="00000000">
            <w:pPr>
              <w:spacing w:after="28" w:line="244" w:lineRule="auto"/>
            </w:pPr>
            <w:r>
              <w:rPr>
                <w:rFonts w:ascii="Quicksand" w:eastAsia="Quicksand" w:hAnsi="Quicksand" w:cs="Quicksand"/>
                <w:b/>
                <w:bCs/>
                <w:color w:val="FFFFFF"/>
                <w:sz w:val="22"/>
                <w:szCs w:val="22"/>
              </w:rPr>
              <w:t>Annexure 2 — Standard Terms &amp; Conditions</w:t>
            </w:r>
          </w:p>
        </w:tc>
      </w:tr>
      <w:tr w:rsidR="00B073E6" w14:paraId="0000137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D"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37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7F"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38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1"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38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3"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38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5"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38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7"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38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9"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38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B"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38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D"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38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F"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39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1"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39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3"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39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5"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39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7"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39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9"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39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B"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39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D"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39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F"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3A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1"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3A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A3"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3A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5"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3A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A7"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3A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9"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3A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AB"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3A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D"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3A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AF"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3B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1"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3B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3"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3B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5"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3B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7"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3B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9"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3B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B"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3B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D"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3B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F"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3C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C1"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3C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C3"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3C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C5"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3C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C7"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3C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C9"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3C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CB"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3C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CD"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3C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CF"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3D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D1"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