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90"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2026-06-05</w:t>
      </w:r>
    </w:p>
    <w:p w14:paraId="0000107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07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07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07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07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8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8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8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8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8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8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8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8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8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8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08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8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8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8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8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8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92"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093" w14:textId="77777777" w:rsidR="00B073E6" w:rsidRDefault="00B073E6">
      <w:pPr>
        <w:spacing w:after="36"/>
      </w:pPr>
    </w:p>
    <w:p w14:paraId="00001094"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95" w14:textId="77777777" w:rsidR="002549F2" w:rsidRDefault="002549F2">
      <w:pPr>
        <w:spacing w:before="40" w:after="40" w:line="220" w:lineRule="auto"/>
      </w:pPr>
      <w:r>
        <w:rPr>
          <w:rFonts w:ascii="Quicksand" w:eastAsia="Quicksand" w:hAnsi="Quicksand" w:cs="Quicksand"/>
          <w:sz w:val="20"/>
          <w:szCs w:val="20"/>
        </w:rPr>
        <w:t xml:space="preserve"> </w:t>
      </w:r>
    </w:p>
    <w:p w14:paraId="00001096"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9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8"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9" w14:textId="77777777" w:rsidR="00B073E6" w:rsidRDefault="00B073E6">
            <w:pPr>
              <w:spacing w:after="28" w:line="244" w:lineRule="auto"/>
              <w:jc w:val="right"/>
            </w:pPr>
          </w:p>
        </w:tc>
      </w:tr>
      <w:tr w:rsidR="00B073E6" w14:paraId="0000109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B"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C"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9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E" w14:textId="77777777" w:rsidR="00B073E6" w:rsidRDefault="00000000">
            <w:pPr>
              <w:spacing w:after="28" w:line="244" w:lineRule="auto"/>
            </w:pPr>
            <w:r>
              <w:rPr>
                <w:rFonts w:ascii="Quicksand" w:eastAsia="Quicksand" w:hAnsi="Quicksand" w:cs="Quicksand"/>
                <w:b/>
                <w:bCs/>
                <w:color w:val="1B6B6B"/>
                <w:sz w:val="18"/>
                <w:szCs w:val="18"/>
              </w:rPr>
              <w:t>J.</w:t>
            </w:r>
            <w:r>
              <w:rPr>
                <w:rFonts w:ascii="Quicksand" w:eastAsia="Quicksand" w:hAnsi="Quicksand" w:cs="Quicksand"/>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F"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A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A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A2"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0A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4"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5"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6"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7"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A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A" w14:textId="77777777" w:rsidR="00B073E6" w:rsidRDefault="00000000">
            <w:pPr>
              <w:spacing w:after="28" w:line="244" w:lineRule="auto"/>
            </w:pPr>
            <w:r>
              <w:rPr>
                <w:rFonts w:ascii="Quicksand" w:eastAsia="Quicksand" w:hAnsi="Quicksand" w:cs="Quicksand"/>
                <w:b/>
                <w:bCs/>
                <w:color w:val="1B6B6B"/>
                <w:sz w:val="18"/>
                <w:szCs w:val="18"/>
              </w:rPr>
              <w:t>H1</w:t>
            </w:r>
          </w:p>
          <w:p w14:paraId="000010AB"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C"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AD"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AE"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AF"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B0"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B1"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2"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B3"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4"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5"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B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B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B8" w14:textId="77777777" w:rsidR="00B073E6" w:rsidRDefault="00000000">
            <w:pPr>
              <w:spacing w:after="28" w:line="244" w:lineRule="auto"/>
            </w:pPr>
            <w:r>
              <w:rPr>
                <w:rFonts w:ascii="Quicksand" w:eastAsia="Quicksand" w:hAnsi="Quicksand" w:cs="Quicksand"/>
                <w:b/>
                <w:bCs/>
                <w:color w:val="FFFFFF"/>
                <w:sz w:val="20"/>
                <w:szCs w:val="20"/>
              </w:rPr>
              <w:t xml:space="preserve">J.  Financial Due Diligence – Buy-Side</w:t>
            </w:r>
          </w:p>
        </w:tc>
      </w:tr>
      <w:tr w:rsidR="00B073E6" w14:paraId="000010B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B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0" w14:textId="77777777" w:rsidR="00B073E6" w:rsidRDefault="00000000">
            <w:pPr>
              <w:spacing w:after="28" w:line="244" w:lineRule="auto"/>
            </w:pPr>
            <w:r>
              <w:rPr>
                <w:rFonts w:ascii="Quicksand" w:eastAsia="Quicksand" w:hAnsi="Quicksand" w:cs="Quicksand"/>
                <w:b/>
                <w:bCs/>
                <w:color w:val="1B6B6B"/>
                <w:sz w:val="18"/>
                <w:szCs w:val="18"/>
              </w:rPr>
              <w:t>J1</w:t>
            </w:r>
          </w:p>
          <w:p w14:paraId="000010C1" w14:textId="77777777" w:rsidR="00B073E6" w:rsidRDefault="00000000">
            <w:pPr>
              <w:spacing w:after="4" w:line="244" w:lineRule="auto"/>
            </w:pPr>
            <w:r>
              <w:rPr>
                <w:rFonts w:ascii="Quicksand" w:eastAsia="Quicksand" w:hAnsi="Quicksand" w:cs="Quicksand"/>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2" w14:textId="77777777" w:rsidR="00B073E6" w:rsidRDefault="00000000">
            <w:pPr>
              <w:spacing w:after="28" w:line="244" w:lineRule="auto"/>
            </w:pPr>
            <w:r>
              <w:rPr>
                <w:rFonts w:ascii="Quicksand" w:eastAsia="Quicksand" w:hAnsi="Quicksand" w:cs="Quicksand"/>
                <w:color w:val="1A1A1A"/>
                <w:sz w:val="18"/>
                <w:szCs w:val="18"/>
              </w:rPr>
              <w:t>Quality of Earnings and Profitability evaluation.</w:t>
            </w:r>
          </w:p>
          <w:p w14:paraId="000010C3" w14:textId="77777777" w:rsidR="00B073E6" w:rsidRDefault="00000000">
            <w:pPr>
              <w:spacing w:after="28" w:line="244" w:lineRule="auto"/>
            </w:pPr>
            <w:r>
              <w:rPr>
                <w:rFonts w:ascii="Quicksand" w:eastAsia="Quicksand" w:hAnsi="Quicksand" w:cs="Quicksand"/>
                <w:color w:val="1A1A1A"/>
                <w:sz w:val="18"/>
                <w:szCs w:val="18"/>
              </w:rPr>
              <w:t>Working Capital and Cash Flow Assessment.</w:t>
            </w:r>
          </w:p>
          <w:p w14:paraId="000010C4" w14:textId="77777777" w:rsidR="00B073E6" w:rsidRDefault="00000000">
            <w:pPr>
              <w:spacing w:after="28" w:line="244" w:lineRule="auto"/>
            </w:pPr>
            <w:r>
              <w:rPr>
                <w:rFonts w:ascii="Quicksand" w:eastAsia="Quicksand" w:hAnsi="Quicksand" w:cs="Quicksand"/>
                <w:color w:val="1A1A1A"/>
                <w:sz w:val="18"/>
                <w:szCs w:val="18"/>
              </w:rPr>
              <w:t>Net Debt and Balance Sheet Health review.</w:t>
            </w:r>
          </w:p>
          <w:p w14:paraId="000010C5" w14:textId="77777777" w:rsidR="00B073E6" w:rsidRDefault="00000000">
            <w:pPr>
              <w:spacing w:after="28" w:line="244" w:lineRule="auto"/>
            </w:pPr>
            <w:r>
              <w:rPr>
                <w:rFonts w:ascii="Quicksand" w:eastAsia="Quicksand" w:hAnsi="Quicksand" w:cs="Quicksand"/>
                <w:color w:val="1A1A1A"/>
                <w:sz w:val="18"/>
                <w:szCs w:val="18"/>
              </w:rPr>
              <w:t>Tax, Compliance and Related Party Transactions analysis.</w:t>
            </w:r>
          </w:p>
          <w:p w14:paraId="000010C6" w14:textId="77777777" w:rsidR="00B073E6" w:rsidRDefault="00000000">
            <w:pPr>
              <w:spacing w:after="28" w:line="244" w:lineRule="auto"/>
            </w:pPr>
            <w:r>
              <w:rPr>
                <w:rFonts w:ascii="Quicksand" w:eastAsia="Quicksand" w:hAnsi="Quicksand" w:cs="Quicksand"/>
                <w:color w:val="1A1A1A"/>
                <w:sz w:val="18"/>
                <w:szCs w:val="18"/>
              </w:rPr>
              <w:t>Business Plan Review and Deal Implications.</w:t>
            </w:r>
          </w:p>
          <w:p w14:paraId="000010C7" w14:textId="77777777" w:rsidR="00B073E6" w:rsidRDefault="00000000">
            <w:pPr>
              <w:spacing w:after="28" w:line="244" w:lineRule="auto"/>
            </w:pPr>
            <w:r>
              <w:rPr>
                <w:rFonts w:ascii="Quicksand" w:eastAsia="Quicksand" w:hAnsi="Quicksand" w:cs="Quicksand"/>
                <w:color w:val="1A1A1A"/>
                <w:sz w:val="18"/>
                <w:szCs w:val="18"/>
              </w:rPr>
              <w:t>Detailed FDD report with findings and recommendations.</w:t>
            </w:r>
          </w:p>
          <w:p w14:paraId="000010C8" w14:textId="77777777" w:rsidR="00B073E6" w:rsidRDefault="00000000">
            <w:pPr>
              <w:spacing w:after="28" w:line="244" w:lineRule="auto"/>
            </w:pPr>
            <w:r>
              <w:rPr>
                <w:rFonts w:ascii="Quicksand" w:eastAsia="Quicksand" w:hAnsi="Quicksand" w:cs="Quicksand"/>
                <w:color w:val="1A1A1A"/>
                <w:sz w:val="18"/>
                <w:szCs w:val="18"/>
              </w:rPr>
              <w:t>Not included: Legal due diligence; commercial due diligence; tax advisory; valuation services.</w:t>
            </w:r>
          </w:p>
          <w:p w14:paraId="000010C9" w14:textId="77777777" w:rsidR="00B073E6" w:rsidRDefault="00000000">
            <w:pPr>
              <w:spacing w:after="28" w:line="244" w:lineRule="auto"/>
            </w:pPr>
            <w:r>
              <w:rPr>
                <w:rFonts w:ascii="Quicksand" w:eastAsia="Quicksand" w:hAnsi="Quicksand" w:cs="Quicksand"/>
                <w:color w:val="1A1A1A"/>
                <w:sz w:val="18"/>
                <w:szCs w:val="18"/>
              </w:rPr>
              <w:t>Access to target company financial records; facilitate management meetings.</w:t>
            </w:r>
          </w:p>
          <w:p w14:paraId="000010CA" w14:textId="77777777" w:rsidR="00B073E6" w:rsidRDefault="00000000">
            <w:pPr>
              <w:spacing w:after="28" w:line="244" w:lineRule="auto"/>
            </w:pPr>
            <w:r>
              <w:rPr>
                <w:rFonts w:ascii="Quicksand" w:eastAsia="Quicksand" w:hAnsi="Quicksand" w:cs="Quicksand"/>
                <w:color w:val="1A1A1A"/>
                <w:sz w:val="18"/>
                <w:szCs w:val="18"/>
              </w:rPr>
              <w:t>Support data room access; coordinate with other advisors.</w:t>
            </w:r>
          </w:p>
          <w:p w14:paraId="000010CB" w14:textId="77777777" w:rsidR="00B073E6" w:rsidRDefault="00000000">
            <w:pPr>
              <w:spacing w:after="4" w:line="244" w:lineRule="auto"/>
            </w:pPr>
            <w:r>
              <w:rPr>
                <w:rFonts w:ascii="Quicksand" w:eastAsia="Quicksand" w:hAnsi="Quicksand" w:cs="Quicksand"/>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C"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E"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0CF" w14:textId="77777777" w:rsidR="00B073E6" w:rsidRDefault="00B073E6">
      <w:pPr>
        <w:spacing w:after="36"/>
      </w:pPr>
    </w:p>
    <w:p w14:paraId="000010D0"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D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2"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4"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5"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D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8"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9"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A"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B"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C"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D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E" w14:textId="77777777" w:rsidR="00B073E6" w:rsidRDefault="00000000">
            <w:pPr>
              <w:spacing w:after="4" w:line="244" w:lineRule="auto"/>
            </w:pPr>
            <w:r>
              <w:rPr>
                <w:rFonts w:ascii="Quicksand" w:eastAsia="Quicksand" w:hAnsi="Quicksand" w:cs="Quicksand"/>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F" w14:textId="77777777" w:rsidR="00B073E6" w:rsidRDefault="00000000">
            <w:pPr>
              <w:spacing w:after="4" w:line="244" w:lineRule="auto"/>
            </w:pPr>
            <w:r>
              <w:rPr>
                <w:rFonts w:ascii="Quicksand" w:eastAsia="Quicksand" w:hAnsi="Quicksand" w:cs="Quicksand"/>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0" w14:textId="77777777" w:rsidR="00B073E6" w:rsidRDefault="00000000">
            <w:pPr>
              <w:spacing w:after="4" w:line="244" w:lineRule="auto"/>
            </w:pPr>
            <w:r>
              <w:rPr>
                <w:rFonts w:ascii="Quicksand" w:eastAsia="Quicksand" w:hAnsi="Quicksand" w:cs="Quicksand"/>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1"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2"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0E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E4"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5"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E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7"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8"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E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A"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B"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E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D"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E"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E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1"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F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3"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4"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F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F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7"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9"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B"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1"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3"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0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6"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8"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A"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0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D"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F"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1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1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5"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7"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1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9"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1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B"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D"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F"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3"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5"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7"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1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9"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B"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1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D"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F"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1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1"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1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3"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1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5"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1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7"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1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9"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1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D"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1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F"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1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1"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1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3"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1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5"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1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7"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1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1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B"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1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D"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1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F"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1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1"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1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3"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1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5"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1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1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9"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1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B"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1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D"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1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F"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1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1"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1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3"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