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8D"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2026-07-21</w:t>
      </w:r>
    </w:p>
    <w:p w14:paraId="0000107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07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07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Effective from 2026-07-21</w:t>
      </w:r>
    </w:p>
    <w:p w14:paraId="0000107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07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7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7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7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8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8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8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8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8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8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8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08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8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8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8A"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8B"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8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8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8F"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090" w14:textId="77777777" w:rsidR="00B073E6" w:rsidRDefault="00B073E6">
      <w:pPr>
        <w:spacing w:after="36"/>
      </w:pPr>
    </w:p>
    <w:p w14:paraId="00001091"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92" w14:textId="77777777" w:rsidR="002549F2" w:rsidRDefault="002549F2">
      <w:pPr>
        <w:spacing w:before="40" w:after="40" w:line="220" w:lineRule="auto"/>
      </w:pPr>
      <w:r>
        <w:rPr>
          <w:rFonts w:ascii="Quicksand" w:eastAsia="Quicksand" w:hAnsi="Quicksand" w:cs="Quicksand"/>
          <w:sz w:val="20"/>
          <w:szCs w:val="20"/>
        </w:rPr>
        <w:t xml:space="preserve"> </w:t>
      </w:r>
    </w:p>
    <w:p w14:paraId="00001093"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94"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5"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96" w14:textId="77777777" w:rsidR="00B073E6" w:rsidRDefault="00B073E6">
            <w:pPr>
              <w:spacing w:after="28" w:line="244" w:lineRule="auto"/>
              <w:jc w:val="right"/>
            </w:pPr>
          </w:p>
        </w:tc>
      </w:tr>
      <w:tr w:rsidR="00B073E6" w14:paraId="00001097"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8"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Secretarial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99"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09A"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B"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9C"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9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9E"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9F" w14:textId="77777777" w:rsidR="00B073E6" w:rsidRDefault="00000000">
            <w:pPr>
              <w:spacing w:after="28" w:line="244" w:lineRule="auto"/>
            </w:pPr>
            <w:r>
              <w:rPr>
                <w:rFonts w:ascii="Quicksand" w:eastAsia="Quicksand" w:hAnsi="Quicksand" w:cs="Quicksand"/>
                <w:b/>
                <w:bCs/>
                <w:color w:val="FFFFFF"/>
                <w:sz w:val="20"/>
                <w:szCs w:val="20"/>
              </w:rPr>
              <w:t xml:space="preserve">A.  Secretarial Compliances</w:t>
            </w:r>
          </w:p>
        </w:tc>
      </w:tr>
      <w:tr w:rsidR="00B073E6" w14:paraId="000010A0"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1"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2"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3"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4"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A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A6"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7" w14:textId="77777777" w:rsidR="00B073E6" w:rsidRDefault="00000000">
            <w:pPr>
              <w:spacing w:after="28" w:line="244" w:lineRule="auto"/>
            </w:pPr>
            <w:r>
              <w:rPr>
                <w:rFonts w:ascii="Quicksand" w:eastAsia="Quicksand" w:hAnsi="Quicksand" w:cs="Quicksand"/>
                <w:b/>
                <w:bCs/>
                <w:color w:val="1B6B6B"/>
                <w:sz w:val="18"/>
                <w:szCs w:val="18"/>
              </w:rPr>
              <w:t>A1</w:t>
            </w:r>
          </w:p>
          <w:p w14:paraId="000010A8" w14:textId="77777777" w:rsidR="00B073E6" w:rsidRDefault="00000000">
            <w:pPr>
              <w:spacing w:after="4" w:line="244" w:lineRule="auto"/>
            </w:pPr>
            <w:r>
              <w:rPr>
                <w:rFonts w:ascii="Quicksand" w:eastAsia="Quicksand" w:hAnsi="Quicksand" w:cs="Quicksand"/>
                <w:color w:val="1A1A1A"/>
                <w:sz w:val="18"/>
                <w:szCs w:val="18"/>
              </w:rPr>
              <w:t>Incorporation</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9" w14:textId="77777777" w:rsidR="00B073E6" w:rsidRDefault="00000000">
            <w:pPr>
              <w:spacing w:after="28" w:line="244" w:lineRule="auto"/>
            </w:pPr>
            <w:r>
              <w:rPr>
                <w:rFonts w:ascii="Quicksand" w:eastAsia="Quicksand" w:hAnsi="Quicksand" w:cs="Quicksand"/>
                <w:color w:val="1A1A1A"/>
                <w:sz w:val="18"/>
                <w:szCs w:val="18"/>
              </w:rPr>
              <w:t>Name reservation, MOA/AOA drafting, MCA filing, Certificate of Incorporation, PAN, TAN.</w:t>
            </w:r>
          </w:p>
          <w:p w14:paraId="000010AA" w14:textId="77777777" w:rsidR="00B073E6" w:rsidRDefault="00000000">
            <w:pPr>
              <w:spacing w:after="28" w:line="244" w:lineRule="auto"/>
            </w:pPr>
            <w:r>
              <w:rPr>
                <w:rFonts w:ascii="Quicksand" w:eastAsia="Quicksand" w:hAnsi="Quicksand" w:cs="Quicksand"/>
                <w:color w:val="1A1A1A"/>
                <w:sz w:val="18"/>
                <w:szCs w:val="18"/>
              </w:rPr>
              <w:t>Post-incorporation: first board meeting; GST and other registrations.</w:t>
            </w:r>
          </w:p>
          <w:p w14:paraId="000010AB" w14:textId="77777777" w:rsidR="00B073E6" w:rsidRDefault="00000000">
            <w:pPr>
              <w:spacing w:after="4" w:line="244" w:lineRule="auto"/>
            </w:pPr>
            <w:r>
              <w:rPr>
                <w:rFonts w:ascii="Quicksand" w:eastAsia="Quicksand" w:hAnsi="Quicksand" w:cs="Quicksand"/>
                <w:color w:val="1A1A1A"/>
                <w:sz w:val="18"/>
                <w:szCs w:val="18"/>
              </w:rPr>
              <w:t>Not included: Legal representation before regulators; commercial agreement drafting; valuation beyond compliance; international legal advisory; litigation support.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C" w14:textId="77777777" w:rsidR="00B073E6" w:rsidRDefault="00000000">
            <w:pPr>
              <w:spacing w:after="28" w:line="244" w:lineRule="auto"/>
            </w:pPr>
            <w:r>
              <w:rPr>
                <w:rFonts w:ascii="Quicksand" w:eastAsia="Quicksand" w:hAnsi="Quicksand" w:cs="Quicksand"/>
                <w:color w:val="1A1A1A"/>
                <w:sz w:val="18"/>
                <w:szCs w:val="18"/>
              </w:rPr>
              <w:t>Complete corporate records and statutory registers; director/shareholder availability.</w:t>
            </w:r>
          </w:p>
          <w:p w14:paraId="000010AD" w14:textId="77777777" w:rsidR="00B073E6" w:rsidRDefault="00000000">
            <w:pPr>
              <w:spacing w:after="4" w:line="244" w:lineRule="auto"/>
            </w:pPr>
            <w:r>
              <w:rPr>
                <w:rFonts w:ascii="Quicksand" w:eastAsia="Quicksand" w:hAnsi="Quicksand" w:cs="Quicksand"/>
                <w:color w:val="1A1A1A"/>
                <w:sz w:val="18"/>
                <w:szCs w:val="18"/>
              </w:rPr>
              <w:t>Timely updates on corporate changes; coordinate with bankers and registrars.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E" w14:textId="77777777" w:rsidR="00B073E6" w:rsidRDefault="00000000">
            <w:pPr>
              <w:spacing w:after="4" w:line="244" w:lineRule="auto"/>
            </w:pPr>
            <w:r>
              <w:rPr>
                <w:rFonts w:ascii="Quicksand" w:eastAsia="Quicksand" w:hAnsi="Quicksand" w:cs="Quicksand"/>
                <w:color w:val="1A1A1A"/>
                <w:sz w:val="18"/>
                <w:szCs w:val="18"/>
              </w:rPr>
              <w:t>Turnover ≤ ₹100 cr; ≤8 board meetings/year; AGM/EGM as required; ≤50 share transfers/year; FEMA compliance for foreign investment.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AF" w14:textId="77777777" w:rsidR="00B073E6" w:rsidRDefault="00000000">
            <w:pPr>
              <w:spacing w:after="4" w:line="244" w:lineRule="auto"/>
              <w:jc w:val="right"/>
            </w:pPr>
            <w:r>
              <w:rPr>
                <w:rFonts w:ascii="Quicksand" w:eastAsia="Quicksand" w:hAnsi="Quicksand" w:cs="Quicksand"/>
                <w:b/>
                <w:bCs/>
                <w:color w:val="1B3A5C"/>
                <w:sz w:val="18"/>
                <w:szCs w:val="18"/>
              </w:rPr>
              <w:t>₹50,000 one-time</w:t>
            </w:r>
          </w:p>
        </w:tc>
      </w:tr>
    </w:tbl>
    <w:p w14:paraId="000010B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B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B2" w14:textId="77777777" w:rsidR="00B073E6" w:rsidRDefault="00000000">
            <w:pPr>
              <w:spacing w:after="28" w:line="244" w:lineRule="auto"/>
            </w:pPr>
            <w:r>
              <w:rPr>
                <w:rFonts w:ascii="Quicksand" w:eastAsia="Quicksand" w:hAnsi="Quicksand" w:cs="Quicksand"/>
                <w:b/>
                <w:bCs/>
                <w:color w:val="FFFFFF"/>
                <w:sz w:val="20"/>
                <w:szCs w:val="20"/>
              </w:rPr>
              <w:t xml:space="preserve">B.  Financial Due Diligence – Buy-Side</w:t>
            </w:r>
          </w:p>
        </w:tc>
      </w:tr>
      <w:tr w:rsidR="00B073E6" w14:paraId="000010B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B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B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A" w14:textId="77777777" w:rsidR="00B073E6" w:rsidRDefault="00000000">
            <w:pPr>
              <w:spacing w:after="28" w:line="244" w:lineRule="auto"/>
            </w:pPr>
            <w:r>
              <w:rPr>
                <w:rFonts w:ascii="Quicksand" w:eastAsia="Quicksand" w:hAnsi="Quicksand" w:cs="Quicksand"/>
                <w:b/>
                <w:bCs/>
                <w:color w:val="1B6B6B"/>
                <w:sz w:val="18"/>
                <w:szCs w:val="18"/>
              </w:rPr>
              <w:t>B1</w:t>
            </w:r>
          </w:p>
          <w:p w14:paraId="000010BB" w14:textId="77777777" w:rsidR="00B073E6" w:rsidRDefault="00000000">
            <w:pPr>
              <w:spacing w:after="4" w:line="244" w:lineRule="auto"/>
            </w:pPr>
            <w:r>
              <w:rPr>
                <w:rFonts w:ascii="Quicksand" w:eastAsia="Quicksand" w:hAnsi="Quicksand" w:cs="Quicksand"/>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BC" w14:textId="77777777" w:rsidR="00B073E6" w:rsidRDefault="00000000">
            <w:pPr>
              <w:spacing w:after="28" w:line="244" w:lineRule="auto"/>
            </w:pPr>
            <w:r>
              <w:rPr>
                <w:rFonts w:ascii="Quicksand" w:eastAsia="Quicksand" w:hAnsi="Quicksand" w:cs="Quicksand"/>
                <w:color w:val="1A1A1A"/>
                <w:sz w:val="18"/>
                <w:szCs w:val="18"/>
              </w:rPr>
              <w:t>Quality of Earnings and Profitability evaluation.</w:t>
            </w:r>
          </w:p>
          <w:p w14:paraId="000010BD" w14:textId="77777777" w:rsidR="00B073E6" w:rsidRDefault="00000000">
            <w:pPr>
              <w:spacing w:after="28" w:line="244" w:lineRule="auto"/>
            </w:pPr>
            <w:r>
              <w:rPr>
                <w:rFonts w:ascii="Quicksand" w:eastAsia="Quicksand" w:hAnsi="Quicksand" w:cs="Quicksand"/>
                <w:color w:val="1A1A1A"/>
                <w:sz w:val="18"/>
                <w:szCs w:val="18"/>
              </w:rPr>
              <w:t>Working Capital and Cash Flow Assessment.</w:t>
            </w:r>
          </w:p>
          <w:p w14:paraId="000010BE" w14:textId="77777777" w:rsidR="00B073E6" w:rsidRDefault="00000000">
            <w:pPr>
              <w:spacing w:after="28" w:line="244" w:lineRule="auto"/>
            </w:pPr>
            <w:r>
              <w:rPr>
                <w:rFonts w:ascii="Quicksand" w:eastAsia="Quicksand" w:hAnsi="Quicksand" w:cs="Quicksand"/>
                <w:color w:val="1A1A1A"/>
                <w:sz w:val="18"/>
                <w:szCs w:val="18"/>
              </w:rPr>
              <w:t>Net Debt and Balance Sheet Health review.</w:t>
            </w:r>
          </w:p>
          <w:p w14:paraId="000010BF" w14:textId="77777777" w:rsidR="00B073E6" w:rsidRDefault="00000000">
            <w:pPr>
              <w:spacing w:after="28" w:line="244" w:lineRule="auto"/>
            </w:pPr>
            <w:r>
              <w:rPr>
                <w:rFonts w:ascii="Quicksand" w:eastAsia="Quicksand" w:hAnsi="Quicksand" w:cs="Quicksand"/>
                <w:color w:val="1A1A1A"/>
                <w:sz w:val="18"/>
                <w:szCs w:val="18"/>
              </w:rPr>
              <w:t>Tax, Compliance and Related Party Transactions analysis.</w:t>
            </w:r>
          </w:p>
          <w:p w14:paraId="000010C0" w14:textId="77777777" w:rsidR="00B073E6" w:rsidRDefault="00000000">
            <w:pPr>
              <w:spacing w:after="28" w:line="244" w:lineRule="auto"/>
            </w:pPr>
            <w:r>
              <w:rPr>
                <w:rFonts w:ascii="Quicksand" w:eastAsia="Quicksand" w:hAnsi="Quicksand" w:cs="Quicksand"/>
                <w:color w:val="1A1A1A"/>
                <w:sz w:val="18"/>
                <w:szCs w:val="18"/>
              </w:rPr>
              <w:t>Business Plan Review and Deal Implications.</w:t>
            </w:r>
          </w:p>
          <w:p w14:paraId="000010C1" w14:textId="77777777" w:rsidR="00B073E6" w:rsidRDefault="00000000">
            <w:pPr>
              <w:spacing w:after="28" w:line="244" w:lineRule="auto"/>
            </w:pPr>
            <w:r>
              <w:rPr>
                <w:rFonts w:ascii="Quicksand" w:eastAsia="Quicksand" w:hAnsi="Quicksand" w:cs="Quicksand"/>
                <w:color w:val="1A1A1A"/>
                <w:sz w:val="18"/>
                <w:szCs w:val="18"/>
              </w:rPr>
              <w:t>Detailed FDD report with findings and recommendations.</w:t>
            </w:r>
          </w:p>
          <w:p w14:paraId="000010C2" w14:textId="77777777" w:rsidR="00B073E6" w:rsidRDefault="00000000">
            <w:pPr>
              <w:spacing w:after="28" w:line="244" w:lineRule="auto"/>
            </w:pPr>
            <w:r>
              <w:rPr>
                <w:rFonts w:ascii="Quicksand" w:eastAsia="Quicksand" w:hAnsi="Quicksand" w:cs="Quicksand"/>
                <w:color w:val="1A1A1A"/>
                <w:sz w:val="18"/>
                <w:szCs w:val="18"/>
              </w:rPr>
              <w:t>Not included: Legal due diligence; commercial due diligence; tax advisory; valuation services.</w:t>
            </w:r>
          </w:p>
          <w:p w14:paraId="000010C3" w14:textId="77777777" w:rsidR="00B073E6" w:rsidRDefault="00000000">
            <w:pPr>
              <w:spacing w:after="28" w:line="244" w:lineRule="auto"/>
            </w:pPr>
            <w:r>
              <w:rPr>
                <w:rFonts w:ascii="Quicksand" w:eastAsia="Quicksand" w:hAnsi="Quicksand" w:cs="Quicksand"/>
                <w:color w:val="1A1A1A"/>
                <w:sz w:val="18"/>
                <w:szCs w:val="18"/>
              </w:rPr>
              <w:t>Access to target company financial records; facilitate management meetings.</w:t>
            </w:r>
          </w:p>
          <w:p w14:paraId="000010C4" w14:textId="77777777" w:rsidR="00B073E6" w:rsidRDefault="00000000">
            <w:pPr>
              <w:spacing w:after="28" w:line="244" w:lineRule="auto"/>
            </w:pPr>
            <w:r>
              <w:rPr>
                <w:rFonts w:ascii="Quicksand" w:eastAsia="Quicksand" w:hAnsi="Quicksand" w:cs="Quicksand"/>
                <w:color w:val="1A1A1A"/>
                <w:sz w:val="18"/>
                <w:szCs w:val="18"/>
              </w:rPr>
              <w:t>Support data room access; coordinate with other advisors.</w:t>
            </w:r>
          </w:p>
          <w:p w14:paraId="000010C5" w14:textId="77777777" w:rsidR="00B073E6" w:rsidRDefault="00000000">
            <w:pPr>
              <w:spacing w:after="4" w:line="244" w:lineRule="auto"/>
            </w:pPr>
            <w:r>
              <w:rPr>
                <w:rFonts w:ascii="Quicksand" w:eastAsia="Quicksand" w:hAnsi="Quicksand" w:cs="Quicksand"/>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6"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7"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C8"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0C9" w14:textId="77777777" w:rsidR="00B073E6" w:rsidRDefault="00B073E6">
      <w:pPr>
        <w:spacing w:after="36"/>
      </w:pPr>
    </w:p>
    <w:p w14:paraId="000010CA"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CB"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C"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D"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E"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CF"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D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D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2"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3"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4" w14:textId="77777777" w:rsidR="00B073E6" w:rsidRDefault="00000000">
            <w:pPr>
              <w:spacing w:after="4" w:line="244" w:lineRule="auto"/>
            </w:pPr>
            <w:r>
              <w:rPr>
                <w:rFonts w:ascii="Quicksand" w:eastAsia="Quicksand" w:hAnsi="Quicksand" w:cs="Quicksand"/>
                <w:color w:val="1A1A1A"/>
                <w:sz w:val="18"/>
                <w:szCs w:val="18"/>
              </w:rPr>
              <w:t>Incorporation</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5"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D6" w14:textId="77777777" w:rsidR="00B073E6" w:rsidRDefault="00000000">
            <w:pPr>
              <w:spacing w:after="4" w:line="244" w:lineRule="auto"/>
              <w:jc w:val="right"/>
            </w:pPr>
            <w:r>
              <w:rPr>
                <w:rFonts w:ascii="Quicksand" w:eastAsia="Quicksand" w:hAnsi="Quicksand" w:cs="Quicksand"/>
                <w:b/>
                <w:bCs/>
                <w:color w:val="1B3A5C"/>
                <w:sz w:val="18"/>
                <w:szCs w:val="18"/>
              </w:rPr>
              <w:t>₹50,000 one-time</w:t>
            </w:r>
          </w:p>
        </w:tc>
      </w:tr>
      <w:tr w:rsidR="00B073E6" w14:paraId="000010D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8"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9"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A" w14:textId="77777777" w:rsidR="00B073E6" w:rsidRDefault="00000000">
            <w:pPr>
              <w:spacing w:after="4" w:line="244" w:lineRule="auto"/>
            </w:pPr>
            <w:r>
              <w:rPr>
                <w:rFonts w:ascii="Quicksand" w:eastAsia="Quicksand" w:hAnsi="Quicksand" w:cs="Quicksand"/>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B" w14:textId="77777777" w:rsidR="00B073E6" w:rsidRDefault="00000000">
            <w:pPr>
              <w:spacing w:after="4" w:line="244" w:lineRule="auto"/>
            </w:pPr>
            <w:r>
              <w:rPr>
                <w:rFonts w:ascii="Quicksand" w:eastAsia="Quicksand" w:hAnsi="Quicksand" w:cs="Quicksand"/>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DC" w14:textId="77777777" w:rsidR="00B073E6" w:rsidRDefault="00000000">
            <w:pPr>
              <w:spacing w:after="4" w:line="244" w:lineRule="auto"/>
              <w:jc w:val="right"/>
            </w:pPr>
            <w:r>
              <w:rPr>
                <w:rFonts w:ascii="Quicksand" w:eastAsia="Quicksand" w:hAnsi="Quicksand" w:cs="Quicksand"/>
                <w:b/>
                <w:bCs/>
                <w:color w:val="1B3A5C"/>
                <w:sz w:val="18"/>
                <w:szCs w:val="18"/>
              </w:rPr>
              <w:t>₹500,000 one-time</w:t>
            </w:r>
          </w:p>
        </w:tc>
      </w:tr>
    </w:tbl>
    <w:p w14:paraId="000010D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D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DF"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E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1"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2"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E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4"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5"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E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7"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8"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E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A"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EB"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E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D"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EE"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E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F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1"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F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F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5"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F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7"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F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9"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F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FB"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F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F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F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0"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2"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4"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05"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06"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07"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9"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