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0FF"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2026-06-30</w:t>
      </w:r>
    </w:p>
    <w:p w14:paraId="000010E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Vikas</w:t>
      </w:r>
    </w:p>
    <w:p w14:paraId="000010E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11x inc</w:t>
      </w:r>
    </w:p>
    <w:p w14:paraId="000010E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11x inc - Financial Year 26-27</w:t>
      </w:r>
    </w:p>
    <w:p w14:paraId="000010E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Vikas,</w:t>
      </w:r>
    </w:p>
    <w:p w14:paraId="000010E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11x inc (referred to as ‘11x’),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0E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0F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0F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0F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0F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0F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0F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0F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0F7"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0F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11x</w:t>
      </w:r>
    </w:p>
    <w:p w14:paraId="000010F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0FA"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0FB"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0FC"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0FD"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0F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0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101"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11x inc is a leading company that provides quality services and solutions to its clients.</w:t>
            </w:r>
          </w:p>
        </w:tc>
      </w:tr>
    </w:tbl>
    <w:p w14:paraId="00001102" w14:textId="77777777" w:rsidR="00B073E6" w:rsidRDefault="00B073E6">
      <w:pPr>
        <w:spacing w:after="36"/>
      </w:pPr>
    </w:p>
    <w:p w14:paraId="00001103"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India</w:t>
      </w:r>
    </w:p>
    <w:p w14:paraId="00001104" w14:textId="77777777" w:rsidR="002549F2" w:rsidRDefault="002549F2">
      <w:pPr>
        <w:spacing w:before="40" w:after="40" w:line="220" w:lineRule="auto"/>
      </w:pPr>
      <w:r>
        <w:rPr>
          <w:rFonts w:ascii="Quicksand" w:eastAsia="Quicksand" w:hAnsi="Quicksand" w:cs="Quicksand"/>
          <w:sz w:val="20"/>
          <w:szCs w:val="20"/>
        </w:rPr>
        <w:t xml:space="preserve"> </w:t>
      </w:r>
    </w:p>
    <w:p w14:paraId="00001105"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106"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07"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08" w14:textId="77777777" w:rsidR="00B073E6" w:rsidRDefault="00B073E6">
            <w:pPr>
              <w:spacing w:after="28" w:line="244" w:lineRule="auto"/>
              <w:jc w:val="right"/>
            </w:pPr>
          </w:p>
        </w:tc>
      </w:tr>
      <w:tr w:rsidR="00B073E6" w14:paraId="00001109"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0A" w14:textId="77777777" w:rsidR="00B073E6" w:rsidRDefault="00000000">
            <w:pPr>
              <w:spacing w:after="28" w:line="244" w:lineRule="auto"/>
            </w:pPr>
            <w:r>
              <w:rPr>
                <w:rFonts w:ascii="Quicksand" w:eastAsia="Quicksand" w:hAnsi="Quicksand" w:cs="Quicksand"/>
                <w:b/>
                <w:bCs/>
                <w:color w:val="1B6B6B"/>
                <w:sz w:val="18"/>
                <w:szCs w:val="18"/>
              </w:rPr>
              <w:t>A.</w:t>
            </w:r>
            <w:r>
              <w:rPr>
                <w:rFonts w:ascii="Quicksand" w:eastAsia="Quicksand" w:hAnsi="Quicksand" w:cs="Quicksand"/>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0B"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10C"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10D"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0E" w14:textId="77777777" w:rsidR="00B073E6" w:rsidRDefault="00000000">
            <w:pPr>
              <w:spacing w:after="28" w:line="244" w:lineRule="auto"/>
            </w:pPr>
            <w:r>
              <w:rPr>
                <w:rFonts w:ascii="Quicksand" w:eastAsia="Quicksand" w:hAnsi="Quicksand" w:cs="Quicksand"/>
                <w:b/>
                <w:bCs/>
                <w:color w:val="FFFFFF"/>
                <w:sz w:val="20"/>
                <w:szCs w:val="20"/>
              </w:rPr>
              <w:t xml:space="preserve">A.  Audits</w:t>
            </w:r>
          </w:p>
        </w:tc>
      </w:tr>
      <w:tr w:rsidR="00B073E6" w14:paraId="0000110F"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10"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11"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12"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13"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14"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115"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16" w14:textId="77777777" w:rsidR="00B073E6" w:rsidRDefault="00000000">
            <w:pPr>
              <w:spacing w:after="28" w:line="244" w:lineRule="auto"/>
            </w:pPr>
            <w:r>
              <w:rPr>
                <w:rFonts w:ascii="Quicksand" w:eastAsia="Quicksand" w:hAnsi="Quicksand" w:cs="Quicksand"/>
                <w:b/>
                <w:bCs/>
                <w:color w:val="1B6B6B"/>
                <w:sz w:val="18"/>
                <w:szCs w:val="18"/>
              </w:rPr>
              <w:t>A1</w:t>
            </w:r>
          </w:p>
          <w:p w14:paraId="00001117"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18" w14:textId="77777777" w:rsidR="00B073E6" w:rsidRDefault="00000000">
            <w:pPr>
              <w:spacing w:after="28" w:line="244" w:lineRule="auto"/>
            </w:pPr>
            <w:r>
              <w:rPr>
                <w:rFonts w:ascii="Quicksand" w:eastAsia="Quicksand" w:hAnsi="Quicksand" w:cs="Quicksand"/>
                <w:color w:val="1A1A1A"/>
                <w:sz w:val="18"/>
                <w:szCs w:val="18"/>
              </w:rPr>
              <w:t>Verify books for accuracy and Indian GAAP compliance; examine accounting policies.</w:t>
            </w:r>
          </w:p>
          <w:p w14:paraId="00001119" w14:textId="77777777" w:rsidR="00B073E6" w:rsidRDefault="00000000">
            <w:pPr>
              <w:spacing w:after="28" w:line="244" w:lineRule="auto"/>
            </w:pPr>
            <w:r>
              <w:rPr>
                <w:rFonts w:ascii="Quicksand" w:eastAsia="Quicksand" w:hAnsi="Quicksand" w:cs="Quicksand"/>
                <w:color w:val="1A1A1A"/>
                <w:sz w:val="18"/>
                <w:szCs w:val="18"/>
              </w:rPr>
              <w:t>Review and evaluate internal controls and financial control systems.</w:t>
            </w:r>
          </w:p>
          <w:p w14:paraId="0000111A" w14:textId="77777777" w:rsidR="00B073E6" w:rsidRDefault="00000000">
            <w:pPr>
              <w:spacing w:after="28" w:line="244" w:lineRule="auto"/>
            </w:pPr>
            <w:r>
              <w:rPr>
                <w:rFonts w:ascii="Quicksand" w:eastAsia="Quicksand" w:hAnsi="Quicksand" w:cs="Quicksand"/>
                <w:color w:val="1A1A1A"/>
                <w:sz w:val="18"/>
                <w:szCs w:val="18"/>
              </w:rPr>
              <w:t>Check compliance – Companies Act, IT Act, GST; verify Schedule III disclosures.</w:t>
            </w:r>
          </w:p>
          <w:p w14:paraId="0000111B" w14:textId="77777777" w:rsidR="00B073E6" w:rsidRDefault="00000000">
            <w:pPr>
              <w:spacing w:after="28" w:line="244" w:lineRule="auto"/>
            </w:pPr>
            <w:r>
              <w:rPr>
                <w:rFonts w:ascii="Quicksand" w:eastAsia="Quicksand" w:hAnsi="Quicksand" w:cs="Quicksand"/>
                <w:color w:val="1A1A1A"/>
                <w:sz w:val="18"/>
                <w:szCs w:val="18"/>
              </w:rPr>
              <w:t>Audit Balance Sheet, P&amp;L, Cash Flow and Notes; ensure true and fair view.</w:t>
            </w:r>
          </w:p>
          <w:p w14:paraId="0000111C" w14:textId="77777777" w:rsidR="00B073E6" w:rsidRDefault="00000000">
            <w:pPr>
              <w:spacing w:after="28" w:line="244" w:lineRule="auto"/>
            </w:pPr>
            <w:r>
              <w:rPr>
                <w:rFonts w:ascii="Quicksand" w:eastAsia="Quicksand" w:hAnsi="Quicksand" w:cs="Quicksand"/>
                <w:color w:val="1A1A1A"/>
                <w:sz w:val="18"/>
                <w:szCs w:val="18"/>
              </w:rPr>
              <w:t>Issue Audit Report (Companies Act format); communicate observations and recommendations.</w:t>
            </w:r>
          </w:p>
          <w:p w14:paraId="0000111D" w14:textId="77777777" w:rsidR="00B073E6" w:rsidRDefault="00000000">
            <w:pPr>
              <w:spacing w:after="4" w:line="244" w:lineRule="auto"/>
            </w:pPr>
            <w:r>
              <w:rPr>
                <w:rFonts w:ascii="Quicksand" w:eastAsia="Quicksand" w:hAnsi="Quicksand" w:cs="Quicksand"/>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1E" w14:textId="77777777" w:rsidR="00B073E6" w:rsidRDefault="00000000">
            <w:pPr>
              <w:spacing w:after="28" w:line="244" w:lineRule="auto"/>
            </w:pPr>
            <w:r>
              <w:rPr>
                <w:rFonts w:ascii="Quicksand" w:eastAsia="Quicksand" w:hAnsi="Quicksand" w:cs="Quicksand"/>
                <w:color w:val="1A1A1A"/>
                <w:sz w:val="18"/>
                <w:szCs w:val="18"/>
              </w:rPr>
              <w:t>Complete books, financial records and system access; management availability for queries.</w:t>
            </w:r>
          </w:p>
          <w:p w14:paraId="0000111F" w14:textId="77777777" w:rsidR="00B073E6" w:rsidRDefault="00000000">
            <w:pPr>
              <w:spacing w:after="4" w:line="244" w:lineRule="auto"/>
            </w:pPr>
            <w:r>
              <w:rPr>
                <w:rFonts w:ascii="Quicksand" w:eastAsia="Quicksand" w:hAnsi="Quicksand" w:cs="Quicksand"/>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20" w14:textId="77777777" w:rsidR="00B073E6" w:rsidRDefault="00000000">
            <w:pPr>
              <w:spacing w:after="4" w:line="244" w:lineRule="auto"/>
            </w:pPr>
            <w:r>
              <w:rPr>
                <w:rFonts w:ascii="Quicksand" w:eastAsia="Quicksand" w:hAnsi="Quicksand" w:cs="Quicksand"/>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21"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122"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23" w14:textId="77777777" w:rsidR="00B073E6" w:rsidRDefault="00000000">
            <w:pPr>
              <w:spacing w:after="28" w:line="244" w:lineRule="auto"/>
            </w:pPr>
            <w:r>
              <w:rPr>
                <w:rFonts w:ascii="Quicksand" w:eastAsia="Quicksand" w:hAnsi="Quicksand" w:cs="Quicksand"/>
                <w:b/>
                <w:bCs/>
                <w:color w:val="1B6B6B"/>
                <w:sz w:val="18"/>
                <w:szCs w:val="18"/>
              </w:rPr>
              <w:t>A2</w:t>
            </w:r>
          </w:p>
          <w:p w14:paraId="00001124" w14:textId="77777777" w:rsidR="00B073E6" w:rsidRDefault="00000000">
            <w:pPr>
              <w:spacing w:after="4" w:line="244" w:lineRule="auto"/>
            </w:pPr>
            <w:r>
              <w:rPr>
                <w:rFonts w:ascii="Quicksand" w:eastAsia="Quicksand" w:hAnsi="Quicksand" w:cs="Quicksand"/>
                <w:color w:val="1A1A1A"/>
                <w:sz w:val="18"/>
                <w:szCs w:val="18"/>
              </w:rPr>
              <w:t>Tax Audit</w:t>
            </w:r>
          </w:p>
        </w:tc>
        <w:tc>
          <w:tcPr>
            <w:tcW w:w="373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25" w14:textId="77777777" w:rsidR="00B073E6" w:rsidRDefault="00000000">
            <w:pPr>
              <w:spacing w:after="28" w:line="244" w:lineRule="auto"/>
            </w:pPr>
            <w:r>
              <w:rPr>
                <w:rFonts w:ascii="Quicksand" w:eastAsia="Quicksand" w:hAnsi="Quicksand" w:cs="Quicksand"/>
                <w:color w:val="1A1A1A"/>
                <w:sz w:val="18"/>
                <w:szCs w:val="18"/>
              </w:rPr>
              <w:t>Review books for IT compliance; identify disallowances under s.40(a)(ia), 40A(3) etc.</w:t>
            </w:r>
          </w:p>
          <w:p w14:paraId="00001126" w14:textId="77777777" w:rsidR="00B073E6" w:rsidRDefault="00000000">
            <w:pPr>
              <w:spacing w:after="28" w:line="244" w:lineRule="auto"/>
            </w:pPr>
            <w:r>
              <w:rPr>
                <w:rFonts w:ascii="Quicksand" w:eastAsia="Quicksand" w:hAnsi="Quicksand" w:cs="Quicksand"/>
                <w:color w:val="1A1A1A"/>
                <w:sz w:val="18"/>
                <w:szCs w:val="18"/>
              </w:rPr>
              <w:t>Report specified financial transactions, TDS and related-party disclosures.</w:t>
            </w:r>
          </w:p>
          <w:p w14:paraId="00001127" w14:textId="77777777" w:rsidR="00B073E6" w:rsidRDefault="00000000">
            <w:pPr>
              <w:spacing w:after="4" w:line="244" w:lineRule="auto"/>
            </w:pPr>
            <w:r>
              <w:rPr>
                <w:rFonts w:ascii="Quicksand" w:eastAsia="Quicksand" w:hAnsi="Quicksand" w:cs="Quicksand"/>
                <w:color w:val="1A1A1A"/>
                <w:sz w:val="18"/>
                <w:szCs w:val="18"/>
              </w:rPr>
              <w:t>Certify Form 3CA/3CB and 3CD; e-file within prescribed due date.</w:t>
            </w:r>
          </w:p>
        </w:tc>
        <w:tc>
          <w:tcPr>
            <w:tcW w:w="21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28"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29"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2A" w14:textId="77777777" w:rsidR="00B073E6" w:rsidRDefault="00000000">
            <w:pPr>
              <w:spacing w:after="4" w:line="244" w:lineRule="auto"/>
              <w:jc w:val="right"/>
            </w:pPr>
            <w:r>
              <w:rPr>
                <w:rFonts w:ascii="Quicksand" w:eastAsia="Quicksand" w:hAnsi="Quicksand" w:cs="Quicksand"/>
                <w:b/>
                <w:bCs/>
                <w:color w:val="1B3A5C"/>
                <w:sz w:val="18"/>
                <w:szCs w:val="18"/>
              </w:rPr>
              <w:t>₹75,000/year</w:t>
            </w:r>
          </w:p>
        </w:tc>
      </w:tr>
    </w:tbl>
    <w:p w14:paraId="0000112B" w14:textId="77777777" w:rsidR="00B073E6" w:rsidRDefault="00B073E6">
      <w:pPr>
        <w:spacing w:after="36"/>
      </w:pPr>
    </w:p>
    <w:p w14:paraId="0000112C"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12D"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2E"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2F"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30"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31"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32"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133"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34" w14:textId="77777777" w:rsidR="00B073E6" w:rsidRDefault="00000000">
            <w:pPr>
              <w:spacing w:after="4" w:line="244" w:lineRule="auto"/>
            </w:pPr>
            <w:r>
              <w:rPr>
                <w:rFonts w:ascii="Quicksand" w:eastAsia="Quicksand" w:hAnsi="Quicksand" w:cs="Quicksand"/>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35" w14:textId="77777777" w:rsidR="00B073E6" w:rsidRDefault="00000000">
            <w:pPr>
              <w:spacing w:after="4" w:line="244" w:lineRule="auto"/>
            </w:pPr>
            <w:r>
              <w:rPr>
                <w:rFonts w:ascii="Quicksand" w:eastAsia="Quicksand" w:hAnsi="Quicksand" w:cs="Quicksand"/>
                <w:b/>
                <w:bCs/>
                <w:color w:val="1B6B6B"/>
                <w:sz w:val="18"/>
                <w:szCs w:val="18"/>
              </w:rPr>
              <w:t>A1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36"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37"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38"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139"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3A" w14:textId="77777777" w:rsidR="00B073E6" w:rsidRDefault="00000000">
            <w:pPr>
              <w:spacing w:after="4" w:line="244" w:lineRule="auto"/>
            </w:pPr>
            <w:r>
              <w:rPr>
                <w:rFonts w:ascii="Quicksand" w:eastAsia="Quicksand" w:hAnsi="Quicksand" w:cs="Quicksand"/>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3B" w14:textId="77777777" w:rsidR="00B073E6" w:rsidRDefault="00000000">
            <w:pPr>
              <w:spacing w:after="4" w:line="244" w:lineRule="auto"/>
            </w:pPr>
            <w:r>
              <w:rPr>
                <w:rFonts w:ascii="Quicksand" w:eastAsia="Quicksand" w:hAnsi="Quicksand" w:cs="Quicksand"/>
                <w:b/>
                <w:bCs/>
                <w:color w:val="1B6B6B"/>
                <w:sz w:val="18"/>
                <w:szCs w:val="18"/>
              </w:rPr>
              <w:t>A2</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3C" w14:textId="77777777" w:rsidR="00B073E6" w:rsidRDefault="00000000">
            <w:pPr>
              <w:spacing w:after="4" w:line="244" w:lineRule="auto"/>
            </w:pPr>
            <w:r>
              <w:rPr>
                <w:rFonts w:ascii="Quicksand" w:eastAsia="Quicksand" w:hAnsi="Quicksand" w:cs="Quicksand"/>
                <w:color w:val="1A1A1A"/>
                <w:sz w:val="18"/>
                <w:szCs w:val="18"/>
              </w:rPr>
              <w:t>Tax Audit</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3D"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3E" w14:textId="77777777" w:rsidR="00B073E6" w:rsidRDefault="00000000">
            <w:pPr>
              <w:spacing w:after="4" w:line="244" w:lineRule="auto"/>
              <w:jc w:val="right"/>
            </w:pPr>
            <w:r>
              <w:rPr>
                <w:rFonts w:ascii="Quicksand" w:eastAsia="Quicksand" w:hAnsi="Quicksand" w:cs="Quicksand"/>
                <w:b/>
                <w:bCs/>
                <w:color w:val="1B3A5C"/>
                <w:sz w:val="18"/>
                <w:szCs w:val="18"/>
              </w:rPr>
              <w:t>₹75,000/year</w:t>
            </w:r>
          </w:p>
        </w:tc>
      </w:tr>
    </w:tbl>
    <w:p w14:paraId="0000113F"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140"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41"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142"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43"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44"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145"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46"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47"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148"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49"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4A"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14B"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4C"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4D"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14E"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4F"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50"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151"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52"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53"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15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55"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15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57"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15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59"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15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5B"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15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5D"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15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5F"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160"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61"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62"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16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64"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16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66"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16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68"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69"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16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6B"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
1.1 Scope of Services requested by you is
2. FEES, INVOICE G PAYMENTS and agreed deliverables. the Scope of Service, relevant timelines The said Annexure also lists limitations to mentioned in Annexure 1 to this Agreement.
2.1 Out of pocket expenses, if any, shall be detailed in this Agreement. receive the information and assistance as based on the assumption that we will this Agreement. The amount of our Fee is specifically mentioned in the Annexure 1 to
2.1 Fees for the above Service shall be as
2.2 Taxes if any, applicable on provision of details. billed to you separately with necessary
2.3 Invoice shall be raised upon achieving of Taxes. all Taxes, except any required withholding clear of, and without reduction for, any and payments to us shall be made free and in the invoice and shall be borne by you. All above Services shall be added separately
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
3.1 We are providing these Services and also responsible for the results achieved Services in addressing your needs. You are accepting the adequacy of the scope of the engagement, including evaluating and functions and decisions relating to this
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
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
4. Confidentiality use of these materials is at your own risk. to you, they are provided "as is" and your an engagement. If we make these available databases and other tools) to assist us with (including spreadsheets, documents, develop software or electronic materials
4.1 "Confidential Information" means and
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
4.3 Subject to applicable law, we may breach of any confidentiality obligations. such use shall not in itself constitute a to correspond or transmit information and
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
5.1 We will perform Services using
5.2 We will comply with all applicable, local, reasonable skill and care.
5.3 We do not assume any management regulations. national and international laws and
6. YOUR RESPONSIBILITIES Services. implementation of the output of the We will not be responsible for use or responsibilities in connection with Services.
6.1 We expect that you will provide timely,
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
6.3 You are responsible for all management obligations under this Agreement. personnelʼs compliance with your Services. You will be responsible for your of your management to oversee the
6.4 Any information, advice, of India . Any suit brought hereunder will be and construed in accordance with the laws
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
7.1 This Agreement shall be effective from
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
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
8.1 Except to the extent finally determined
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
8.3 If we are finally determined to be liable or supplied by you. software, information or materials selected or relating to any third-party hardware, Also, we shall have no liability arising from punitive, exemplary or special damages. lost profits, consequential, indirect,
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
9.1 To the fullest extent permitted by
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
10.1 This Agreement will bind and insure to
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
10.3 This Agreement will be governed by otherwise remain in effect . extent necessary and this Agreement will that provision will be limited to the minimum jurisdiction to be unenforceable or invalid, be adjudged by any court of competent
10.4 Any notice or communication required Agreement). details about our relationship or this revealing any confidential Information or solely to identify you as our Client (without our website and other marketing materials
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
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
10.7 Neither party will be liable to the other Agreement . relating to the subject matter of this and oral agreements and communications supersedes and cancels all previous written understanding of the parties and exclusive statement of the mutual
10.8 The parties to this Agreement are . government agency info@10x.global New Delhi 110008 India Pvt Ltd reasonable person to be confidential and that otherwise should be understood by a mark as "confidential" or "proprietary" or includes non-public information, that you
10.10 We may use your name and logo on obligation of the Agreement. discontinue or revise the scope and your proposal whether to continue, competitor . In such a case, you may share you about our engagement with your direct</w:t>
            </w:r>
          </w:p>
        </w:tc>
      </w:tr>
    </w:tbl>
    <w:sectPr w:rsidR="00E0785E" w:rsidSect="00B02474">
      <w:headerReference w:type="default" r:id="rId10"/>
      <w:type w:val="continuous"/>
      <w:pgSz w:w="16838" w:h="11906"/>
      <w:pgMar w:top="1080" w:right="0" w:bottom="1080" w:left="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