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2769"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2026-06-15</w:t>
      </w:r>
    </w:p>
    <w:p w14:paraId="0000275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275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275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275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11x,</w:t>
      </w:r>
    </w:p>
    <w:p w14:paraId="0000275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275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275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275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275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275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275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275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276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2761"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276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276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276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276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276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276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276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76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276B"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276C" w14:textId="77777777" w:rsidR="00B073E6" w:rsidRDefault="00B073E6">
      <w:pPr>
        <w:spacing w:after="36"/>
      </w:pPr>
    </w:p>
    <w:p w14:paraId="0000276D"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276E" w14:textId="77777777" w:rsidR="002549F2" w:rsidRDefault="002549F2">
      <w:pPr>
        <w:spacing w:before="40" w:after="40" w:line="220" w:lineRule="auto"/>
      </w:pPr>
      <w:r>
        <w:rPr>
          <w:rFonts w:ascii="Quicksand" w:eastAsia="Quicksand" w:hAnsi="Quicksand" w:cs="Quicksand"/>
          <w:sz w:val="20"/>
          <w:szCs w:val="20"/>
        </w:rPr>
        <w:t xml:space="preserve"> </w:t>
      </w:r>
    </w:p>
    <w:p w14:paraId="0000276F"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2770"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771"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772" w14:textId="77777777" w:rsidR="00B073E6" w:rsidRDefault="00B073E6">
            <w:pPr>
              <w:spacing w:after="28" w:line="244" w:lineRule="auto"/>
              <w:jc w:val="right"/>
            </w:pPr>
          </w:p>
        </w:tc>
      </w:tr>
      <w:tr w:rsidR="00B073E6" w14:paraId="00002773"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74"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75"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277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2777"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778"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2779"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77A"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77B"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77C"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77D"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77E"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277F"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80" w14:textId="77777777" w:rsidR="00B073E6" w:rsidRDefault="00000000">
            <w:pPr>
              <w:spacing w:after="28" w:line="244" w:lineRule="auto"/>
            </w:pPr>
            <w:r>
              <w:rPr>
                <w:rFonts w:ascii="Quicksand" w:eastAsia="Quicksand" w:hAnsi="Quicksand" w:cs="Quicksand"/>
                <w:b/>
                <w:bCs/>
                <w:color w:val="1B6B6B"/>
                <w:sz w:val="18"/>
                <w:szCs w:val="18"/>
              </w:rPr>
              <w:t>H1</w:t>
            </w:r>
          </w:p>
          <w:p w14:paraId="00002781"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82"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2783"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2784"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2785"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2786"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2787"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88"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2789"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8A"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8B"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278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8D" w14:textId="77777777" w:rsidR="00B073E6" w:rsidRDefault="00000000">
            <w:pPr>
              <w:spacing w:after="28" w:line="244" w:lineRule="auto"/>
            </w:pPr>
            <w:r>
              <w:rPr>
                <w:rFonts w:ascii="Quicksand" w:eastAsia="Quicksand" w:hAnsi="Quicksand" w:cs="Quicksand"/>
                <w:b/>
                <w:bCs/>
                <w:color w:val="1B6B6B"/>
                <w:sz w:val="18"/>
                <w:szCs w:val="18"/>
              </w:rPr>
              <w:t>H2</w:t>
            </w:r>
          </w:p>
          <w:p w14:paraId="0000278E" w14:textId="77777777" w:rsidR="00B073E6" w:rsidRDefault="00000000">
            <w:pPr>
              <w:spacing w:after="4" w:line="244" w:lineRule="auto"/>
            </w:pPr>
            <w:r>
              <w:rPr>
                <w:rFonts w:ascii="Quicksand" w:eastAsia="Quicksand" w:hAnsi="Quicksand" w:cs="Quicksand"/>
                <w:color w:val="1A1A1A"/>
                <w:sz w:val="18"/>
                <w:szCs w:val="18"/>
              </w:rPr>
              <w:t>Tax Audit</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8F" w14:textId="77777777" w:rsidR="00B073E6" w:rsidRDefault="00000000">
            <w:pPr>
              <w:spacing w:after="28" w:line="244" w:lineRule="auto"/>
            </w:pPr>
            <w:r>
              <w:rPr>
                <w:rFonts w:ascii="Quicksand" w:eastAsia="Quicksand" w:hAnsi="Quicksand" w:cs="Quicksand"/>
                <w:color w:val="1A1A1A"/>
                <w:sz w:val="18"/>
                <w:szCs w:val="18"/>
              </w:rPr>
              <w:t>Review books for IT compliance; identify disallowances under s.40(a)(ia), 40A(3) etc.</w:t>
            </w:r>
          </w:p>
          <w:p w14:paraId="00002790" w14:textId="77777777" w:rsidR="00B073E6" w:rsidRDefault="00000000">
            <w:pPr>
              <w:spacing w:after="28" w:line="244" w:lineRule="auto"/>
            </w:pPr>
            <w:r>
              <w:rPr>
                <w:rFonts w:ascii="Quicksand" w:eastAsia="Quicksand" w:hAnsi="Quicksand" w:cs="Quicksand"/>
                <w:color w:val="1A1A1A"/>
                <w:sz w:val="18"/>
                <w:szCs w:val="18"/>
              </w:rPr>
              <w:t>Report specified financial transactions, TDS and related-party disclosures.</w:t>
            </w:r>
          </w:p>
          <w:p w14:paraId="00002791" w14:textId="77777777" w:rsidR="00B073E6" w:rsidRDefault="00000000">
            <w:pPr>
              <w:spacing w:after="4" w:line="244" w:lineRule="auto"/>
            </w:pPr>
            <w:r>
              <w:rPr>
                <w:rFonts w:ascii="Quicksand" w:eastAsia="Quicksand" w:hAnsi="Quicksand" w:cs="Quicksand"/>
                <w:color w:val="1A1A1A"/>
                <w:sz w:val="18"/>
                <w:szCs w:val="18"/>
              </w:rPr>
              <w:t>Certify Form 3CA/3CB and 3CD; e-file within prescribed due date.</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92"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93"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94"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r w:rsidR="00B073E6" w14:paraId="00002795"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96" w14:textId="77777777" w:rsidR="00B073E6" w:rsidRDefault="00000000">
            <w:pPr>
              <w:spacing w:after="28" w:line="244" w:lineRule="auto"/>
            </w:pPr>
            <w:r>
              <w:rPr>
                <w:rFonts w:ascii="Quicksand" w:eastAsia="Quicksand" w:hAnsi="Quicksand" w:cs="Quicksand"/>
                <w:b/>
                <w:bCs/>
                <w:color w:val="1B6B6B"/>
                <w:sz w:val="18"/>
                <w:szCs w:val="18"/>
              </w:rPr>
              <w:t>H3</w:t>
            </w:r>
          </w:p>
          <w:p w14:paraId="00002797" w14:textId="77777777" w:rsidR="00B073E6" w:rsidRDefault="00000000">
            <w:pPr>
              <w:spacing w:after="4" w:line="244" w:lineRule="auto"/>
            </w:pPr>
            <w:r>
              <w:rPr>
                <w:rFonts w:ascii="Quicksand" w:eastAsia="Quicksand" w:hAnsi="Quicksand" w:cs="Quicksand"/>
                <w:color w:val="1A1A1A"/>
                <w:sz w:val="18"/>
                <w:szCs w:val="18"/>
              </w:rPr>
              <w:t>Transfer Pricing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98" w14:textId="77777777" w:rsidR="00B073E6" w:rsidRDefault="00000000">
            <w:pPr>
              <w:spacing w:after="28" w:line="244" w:lineRule="auto"/>
            </w:pPr>
            <w:r>
              <w:rPr>
                <w:rFonts w:ascii="Quicksand" w:eastAsia="Quicksand" w:hAnsi="Quicksand" w:cs="Quicksand"/>
                <w:color w:val="1A1A1A"/>
                <w:sz w:val="18"/>
                <w:szCs w:val="18"/>
              </w:rPr>
              <w:t>Certify and file Form 3CEB per client's TP study; clause-wise reporting per Rule 10E.</w:t>
            </w:r>
          </w:p>
          <w:p w14:paraId="00002799" w14:textId="77777777" w:rsidR="00B073E6" w:rsidRDefault="00000000">
            <w:pPr>
              <w:spacing w:after="4" w:line="244" w:lineRule="auto"/>
            </w:pPr>
            <w:r>
              <w:rPr>
                <w:rFonts w:ascii="Quicksand" w:eastAsia="Quicksand" w:hAnsi="Quicksand" w:cs="Quicksand"/>
                <w:color w:val="1A1A1A"/>
                <w:sz w:val="18"/>
                <w:szCs w:val="18"/>
              </w:rPr>
              <w:t>Note: TP study and benchmarking under Rule 10D are excluded.</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9A"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9B"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9C" w14:textId="77777777" w:rsidR="00B073E6" w:rsidRDefault="00000000">
            <w:pPr>
              <w:spacing w:after="4" w:line="244" w:lineRule="auto"/>
              <w:jc w:val="right"/>
            </w:pPr>
            <w:r>
              <w:rPr>
                <w:rFonts w:ascii="Quicksand" w:eastAsia="Quicksand" w:hAnsi="Quicksand" w:cs="Quicksand"/>
                <w:b/>
                <w:bCs/>
                <w:color w:val="1B3A5C"/>
                <w:sz w:val="18"/>
                <w:szCs w:val="18"/>
              </w:rPr>
              <w:t>₹50,000/year</w:t>
            </w:r>
          </w:p>
        </w:tc>
      </w:tr>
    </w:tbl>
    <w:p w14:paraId="0000279D" w14:textId="77777777" w:rsidR="00B073E6" w:rsidRDefault="00B073E6">
      <w:pPr>
        <w:spacing w:after="36"/>
      </w:pPr>
    </w:p>
    <w:p w14:paraId="0000279E"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279F"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7A0"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7A1"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7A2"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7A3"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7A4"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27A5"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A6"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A7"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A8"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A9"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AA"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27A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AC"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AD" w14:textId="77777777" w:rsidR="00B073E6" w:rsidRDefault="00000000">
            <w:pPr>
              <w:spacing w:after="4" w:line="244" w:lineRule="auto"/>
            </w:pPr>
            <w:r>
              <w:rPr>
                <w:rFonts w:ascii="Quicksand" w:eastAsia="Quicksand" w:hAnsi="Quicksand" w:cs="Quicksand"/>
                <w:b/>
                <w:bCs/>
                <w:color w:val="1B6B6B"/>
                <w:sz w:val="18"/>
                <w:szCs w:val="18"/>
              </w:rPr>
              <w:t>H2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AE" w14:textId="77777777" w:rsidR="00B073E6" w:rsidRDefault="00000000">
            <w:pPr>
              <w:spacing w:after="4" w:line="244" w:lineRule="auto"/>
            </w:pPr>
            <w:r>
              <w:rPr>
                <w:rFonts w:ascii="Quicksand" w:eastAsia="Quicksand" w:hAnsi="Quicksand" w:cs="Quicksand"/>
                <w:color w:val="1A1A1A"/>
                <w:sz w:val="18"/>
                <w:szCs w:val="18"/>
              </w:rPr>
              <w:t>Tax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AF"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B0"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r w:rsidR="00B073E6" w14:paraId="000027B1"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B2"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B3" w14:textId="77777777" w:rsidR="00B073E6" w:rsidRDefault="00000000">
            <w:pPr>
              <w:spacing w:after="4" w:line="244" w:lineRule="auto"/>
            </w:pPr>
            <w:r>
              <w:rPr>
                <w:rFonts w:ascii="Quicksand" w:eastAsia="Quicksand" w:hAnsi="Quicksand" w:cs="Quicksand"/>
                <w:b/>
                <w:bCs/>
                <w:color w:val="1B6B6B"/>
                <w:sz w:val="18"/>
                <w:szCs w:val="18"/>
              </w:rPr>
              <w:t>H3</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B4" w14:textId="77777777" w:rsidR="00B073E6" w:rsidRDefault="00000000">
            <w:pPr>
              <w:spacing w:after="4" w:line="244" w:lineRule="auto"/>
            </w:pPr>
            <w:r>
              <w:rPr>
                <w:rFonts w:ascii="Quicksand" w:eastAsia="Quicksand" w:hAnsi="Quicksand" w:cs="Quicksand"/>
                <w:color w:val="1A1A1A"/>
                <w:sz w:val="18"/>
                <w:szCs w:val="18"/>
              </w:rPr>
              <w:t>Transfer Pricing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B5"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B6" w14:textId="77777777" w:rsidR="00B073E6" w:rsidRDefault="00000000">
            <w:pPr>
              <w:spacing w:after="4" w:line="244" w:lineRule="auto"/>
              <w:jc w:val="right"/>
            </w:pPr>
            <w:r>
              <w:rPr>
                <w:rFonts w:ascii="Quicksand" w:eastAsia="Quicksand" w:hAnsi="Quicksand" w:cs="Quicksand"/>
                <w:b/>
                <w:bCs/>
                <w:color w:val="1B3A5C"/>
                <w:sz w:val="18"/>
                <w:szCs w:val="18"/>
              </w:rPr>
              <w:t>₹50,000/year</w:t>
            </w:r>
          </w:p>
        </w:tc>
      </w:tr>
    </w:tbl>
    <w:p w14:paraId="000027B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27B8"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7B9"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27B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BB"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BC"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27B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BE"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BF"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27C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C1"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C2"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27C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C4"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C5"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27C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C7"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C8"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27C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7C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7CB"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27C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CD"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27C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CF"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27D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D1"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27D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D3"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27D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D5"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27D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D7"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27D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7D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7DA"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27D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DC"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27D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DE"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27D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7E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7E1"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27E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E3"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27E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E5"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27E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E7"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27E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E9"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27E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EB"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27E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ED"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27E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EF"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27F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F1"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27F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F3"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27F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F5"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27F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F7"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27F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F9"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27F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FB"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27F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7FD"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27F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7FF"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280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801"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280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803"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280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805"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280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807"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280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809"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280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80B"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280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80D"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280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80F"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281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811"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281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813"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281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815"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281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817"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281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819"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281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81B"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281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81D"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281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81F"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282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821"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282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823"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282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825"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282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827"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282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829"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282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82B"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282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82D"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282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82F"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283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831"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283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833"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283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835"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283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837"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