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DB"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1C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1C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C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C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1C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C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C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C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C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C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D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D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D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D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D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D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D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D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D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DD"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DE" w14:textId="77777777" w:rsidR="00B073E6" w:rsidRDefault="00B073E6">
      <w:pPr>
        <w:spacing w:after="36"/>
      </w:pPr>
    </w:p>
    <w:p w14:paraId="000011DF"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1E0" w14:textId="77777777" w:rsidR="002549F2" w:rsidRDefault="002549F2">
      <w:pPr>
        <w:spacing w:before="40" w:after="40" w:line="220" w:lineRule="auto"/>
      </w:pPr>
      <w:r>
        <w:rPr>
          <w:rFonts w:ascii="Quicksand" w:eastAsia="Quicksand" w:hAnsi="Quicksand" w:cs="Quicksand"/>
          <w:sz w:val="20"/>
          <w:szCs w:val="20"/>
        </w:rPr>
        <w:t xml:space="preserve"> </w:t>
      </w:r>
    </w:p>
    <w:p w14:paraId="000011E1"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E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3"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4" w14:textId="77777777" w:rsidR="00B073E6" w:rsidRDefault="00B073E6">
            <w:pPr>
              <w:spacing w:after="28" w:line="244" w:lineRule="auto"/>
              <w:jc w:val="right"/>
            </w:pPr>
          </w:p>
        </w:tc>
      </w:tr>
      <w:tr w:rsidR="00B073E6" w14:paraId="000011E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6"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7"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E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E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A" w14:textId="77777777" w:rsidR="00B073E6" w:rsidRDefault="00000000">
            <w:pPr>
              <w:spacing w:after="28" w:line="244" w:lineRule="auto"/>
            </w:pPr>
            <w:r>
              <w:rPr>
                <w:rFonts w:ascii="Quicksand" w:eastAsia="Quicksand" w:hAnsi="Quicksand" w:cs="Quicksand"/>
                <w:b/>
                <w:bCs/>
                <w:color w:val="FFFFFF"/>
                <w:sz w:val="20"/>
                <w:szCs w:val="20"/>
              </w:rPr>
              <w:t xml:space="preserve">A.  UAE Accounting &amp; Compliance Services</w:t>
            </w:r>
          </w:p>
        </w:tc>
      </w:tr>
      <w:tr w:rsidR="00B073E6" w14:paraId="000011E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F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2" w14:textId="77777777" w:rsidR="00B073E6" w:rsidRDefault="00000000">
            <w:pPr>
              <w:spacing w:after="28" w:line="244" w:lineRule="auto"/>
            </w:pPr>
            <w:r>
              <w:rPr>
                <w:rFonts w:ascii="Quicksand" w:eastAsia="Quicksand" w:hAnsi="Quicksand" w:cs="Quicksand"/>
                <w:b/>
                <w:bCs/>
                <w:color w:val="1B6B6B"/>
                <w:sz w:val="18"/>
                <w:szCs w:val="18"/>
              </w:rPr>
              <w:t>A1</w:t>
            </w:r>
          </w:p>
          <w:p w14:paraId="000011F3"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4" w14:textId="77777777" w:rsidR="00B073E6" w:rsidRDefault="00000000">
            <w:pPr>
              <w:spacing w:after="4" w:line="244" w:lineRule="auto"/>
            </w:pPr>
            <w:r>
              <w:rPr>
                <w:rFonts w:ascii="Quicksand" w:eastAsia="Quicksand" w:hAnsi="Quicksand" w:cs="Quicksand"/>
                <w:color w:val="1A1A1A"/>
                <w:sz w:val="18"/>
                <w:szCs w:val="18"/>
              </w:rPr>
              <w:t>test2</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5"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1F6"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1F7"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8"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9"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1F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B" w14:textId="77777777" w:rsidR="00B073E6" w:rsidRDefault="00000000">
            <w:pPr>
              <w:spacing w:after="28" w:line="244" w:lineRule="auto"/>
            </w:pPr>
            <w:r>
              <w:rPr>
                <w:rFonts w:ascii="Quicksand" w:eastAsia="Quicksand" w:hAnsi="Quicksand" w:cs="Quicksand"/>
                <w:b/>
                <w:bCs/>
                <w:color w:val="1B6B6B"/>
                <w:sz w:val="18"/>
                <w:szCs w:val="18"/>
              </w:rPr>
              <w:t>A2</w:t>
            </w:r>
          </w:p>
          <w:p w14:paraId="000011FC"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D"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11FE"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F"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0"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1"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202" w14:textId="77777777" w:rsidR="00B073E6" w:rsidRDefault="00B073E6">
      <w:pPr>
        <w:spacing w:after="36"/>
      </w:pPr>
    </w:p>
    <w:p w14:paraId="0000120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0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0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C"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D"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F"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21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1"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2"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3"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5"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2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1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1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1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1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1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2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2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2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2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2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2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2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2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3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3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3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3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4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