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53B"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52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52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52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52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52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52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52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52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52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52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53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53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53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53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53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53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53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53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53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53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53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3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53D"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53E" w14:textId="77777777" w:rsidR="00B073E6" w:rsidRDefault="00B073E6">
      <w:pPr>
        <w:spacing w:after="36"/>
      </w:pPr>
    </w:p>
    <w:p w14:paraId="0000153F"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540" w14:textId="77777777" w:rsidR="002549F2" w:rsidRDefault="002549F2">
      <w:pPr>
        <w:spacing w:before="40" w:after="40" w:line="220" w:lineRule="auto"/>
      </w:pPr>
      <w:r>
        <w:rPr>
          <w:rFonts w:ascii="Quicksand" w:eastAsia="Quicksand" w:hAnsi="Quicksand" w:cs="Quicksand"/>
          <w:sz w:val="20"/>
          <w:szCs w:val="20"/>
        </w:rPr>
        <w:t xml:space="preserve"> </w:t>
      </w:r>
    </w:p>
    <w:p w14:paraId="00001541"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542"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43"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44" w14:textId="77777777" w:rsidR="00B073E6" w:rsidRDefault="00B073E6">
            <w:pPr>
              <w:spacing w:after="28" w:line="244" w:lineRule="auto"/>
              <w:jc w:val="right"/>
            </w:pPr>
          </w:p>
        </w:tc>
      </w:tr>
      <w:tr w:rsidR="00B073E6" w14:paraId="0000154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46"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47"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54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49" w14:textId="77777777" w:rsidR="00B073E6" w:rsidRDefault="00000000">
            <w:pPr>
              <w:spacing w:after="28" w:line="244" w:lineRule="auto"/>
            </w:pPr>
            <w:r>
              <w:rPr>
                <w:rFonts w:ascii="Quicksand" w:eastAsia="Quicksand" w:hAnsi="Quicksand" w:cs="Quicksand"/>
                <w:b/>
                <w:bCs/>
                <w:color w:val="1B6B6B"/>
                <w:sz w:val="18"/>
                <w:szCs w:val="18"/>
              </w:rPr>
              <w:t>G.</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4A"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54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4C"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4D"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54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54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50" w14:textId="77777777" w:rsidR="00B073E6" w:rsidRDefault="00000000">
            <w:pPr>
              <w:spacing w:after="28" w:line="244" w:lineRule="auto"/>
            </w:pPr>
            <w:r>
              <w:rPr>
                <w:rFonts w:ascii="Quicksand" w:eastAsia="Quicksand" w:hAnsi="Quicksand" w:cs="Quicksand"/>
                <w:b/>
                <w:bCs/>
                <w:color w:val="FFFFFF"/>
                <w:sz w:val="20"/>
                <w:szCs w:val="20"/>
              </w:rPr>
              <w:t xml:space="preserve">C.  Income Tax Compliances</w:t>
            </w:r>
          </w:p>
        </w:tc>
      </w:tr>
      <w:tr w:rsidR="00B073E6" w14:paraId="0000155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52"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53"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54"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55"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56"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55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58" w14:textId="77777777" w:rsidR="00B073E6" w:rsidRDefault="00000000">
            <w:pPr>
              <w:spacing w:after="28" w:line="244" w:lineRule="auto"/>
            </w:pPr>
            <w:r>
              <w:rPr>
                <w:rFonts w:ascii="Quicksand" w:eastAsia="Quicksand" w:hAnsi="Quicksand" w:cs="Quicksand"/>
                <w:b/>
                <w:bCs/>
                <w:color w:val="1B6B6B"/>
                <w:sz w:val="18"/>
                <w:szCs w:val="18"/>
              </w:rPr>
              <w:t>C1</w:t>
            </w:r>
          </w:p>
          <w:p w14:paraId="00001559"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5A" w14:textId="77777777" w:rsidR="00B073E6" w:rsidRDefault="00000000">
            <w:pPr>
              <w:spacing w:after="28" w:line="244" w:lineRule="auto"/>
            </w:pPr>
            <w:r>
              <w:rPr>
                <w:rFonts w:ascii="Quicksand" w:eastAsia="Quicksand" w:hAnsi="Quicksand" w:cs="Quicksand"/>
                <w:color w:val="1A1A1A"/>
                <w:sz w:val="18"/>
                <w:szCs w:val="18"/>
              </w:rPr>
              <w:t>TDS/TCS computation, challan deposit (Form 281) and applicability review — salaries, rent, professional fees, contractor payments.</w:t>
            </w:r>
          </w:p>
          <w:p w14:paraId="0000155B" w14:textId="77777777" w:rsidR="00B073E6" w:rsidRDefault="00000000">
            <w:pPr>
              <w:spacing w:after="28" w:line="244" w:lineRule="auto"/>
            </w:pPr>
            <w:r>
              <w:rPr>
                <w:rFonts w:ascii="Quicksand" w:eastAsia="Quicksand" w:hAnsi="Quicksand" w:cs="Quicksand"/>
                <w:color w:val="1A1A1A"/>
                <w:sz w:val="18"/>
                <w:szCs w:val="18"/>
              </w:rPr>
              <w:t>Records; preparation and filing of TDS returns (Form 24Q/26Q); issue Form 16/16A as applicable.</w:t>
            </w:r>
          </w:p>
          <w:p w14:paraId="0000155C" w14:textId="77777777" w:rsidR="00B073E6" w:rsidRDefault="00000000">
            <w:pPr>
              <w:spacing w:after="4" w:line="244" w:lineRule="auto"/>
            </w:pPr>
            <w:r>
              <w:rPr>
                <w:rFonts w:ascii="Quicksand" w:eastAsia="Quicksand" w:hAnsi="Quicksand" w:cs="Quicksand"/>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5D" w14:textId="77777777" w:rsidR="00B073E6" w:rsidRDefault="00000000">
            <w:pPr>
              <w:spacing w:after="28" w:line="244" w:lineRule="auto"/>
            </w:pPr>
            <w:r>
              <w:rPr>
                <w:rFonts w:ascii="Quicksand" w:eastAsia="Quicksand" w:hAnsi="Quicksand" w:cs="Quicksand"/>
                <w:color w:val="1A1A1A"/>
                <w:sz w:val="18"/>
                <w:szCs w:val="18"/>
              </w:rPr>
              <w:t>Payment details subject to TDS/TCS; PAN of vendors/employees; IT portal and DSC access.</w:t>
            </w:r>
          </w:p>
          <w:p w14:paraId="0000155E" w14:textId="77777777" w:rsidR="00B073E6" w:rsidRDefault="00000000">
            <w:pPr>
              <w:spacing w:after="4" w:line="244" w:lineRule="auto"/>
            </w:pPr>
            <w:r>
              <w:rPr>
                <w:rFonts w:ascii="Quicksand" w:eastAsia="Quicksand" w:hAnsi="Quicksand" w:cs="Quicksand"/>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5F" w14:textId="77777777" w:rsidR="00B073E6" w:rsidRDefault="00000000">
            <w:pPr>
              <w:spacing w:after="4" w:line="244" w:lineRule="auto"/>
            </w:pPr>
            <w:r>
              <w:rPr>
                <w:rFonts w:ascii="Quicksand" w:eastAsia="Quicksand" w:hAnsi="Quicksand" w:cs="Quicksand"/>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60"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bl>
    <w:p w14:paraId="0000156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562"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63" w14:textId="77777777" w:rsidR="00B073E6" w:rsidRDefault="00000000">
            <w:pPr>
              <w:spacing w:after="28" w:line="244" w:lineRule="auto"/>
            </w:pPr>
            <w:r>
              <w:rPr>
                <w:rFonts w:ascii="Quicksand" w:eastAsia="Quicksand" w:hAnsi="Quicksand" w:cs="Quicksand"/>
                <w:b/>
                <w:bCs/>
                <w:color w:val="FFFFFF"/>
                <w:sz w:val="20"/>
                <w:szCs w:val="20"/>
              </w:rPr>
              <w:t xml:space="preserve">G.  Legal Services</w:t>
            </w:r>
          </w:p>
        </w:tc>
      </w:tr>
      <w:tr w:rsidR="00B073E6" w14:paraId="00001564"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65"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66"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67"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68"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69"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56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6B" w14:textId="77777777" w:rsidR="00B073E6" w:rsidRDefault="00000000">
            <w:pPr>
              <w:spacing w:after="28" w:line="244" w:lineRule="auto"/>
            </w:pPr>
            <w:r>
              <w:rPr>
                <w:rFonts w:ascii="Quicksand" w:eastAsia="Quicksand" w:hAnsi="Quicksand" w:cs="Quicksand"/>
                <w:b/>
                <w:bCs/>
                <w:color w:val="1B6B6B"/>
                <w:sz w:val="18"/>
                <w:szCs w:val="18"/>
              </w:rPr>
              <w:t>G1</w:t>
            </w:r>
          </w:p>
          <w:p w14:paraId="0000156C" w14:textId="77777777" w:rsidR="00B073E6" w:rsidRDefault="00000000">
            <w:pPr>
              <w:spacing w:after="4" w:line="244" w:lineRule="auto"/>
            </w:pPr>
            <w:r>
              <w:rPr>
                <w:rFonts w:ascii="Quicksand" w:eastAsia="Quicksand" w:hAnsi="Quicksand" w:cs="Quicksand"/>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6D" w14:textId="77777777" w:rsidR="00B073E6" w:rsidRDefault="00000000">
            <w:pPr>
              <w:spacing w:after="28" w:line="244" w:lineRule="auto"/>
            </w:pPr>
            <w:r>
              <w:rPr>
                <w:rFonts w:ascii="Quicksand" w:eastAsia="Quicksand" w:hAnsi="Quicksand" w:cs="Quicksand"/>
                <w:color w:val="1A1A1A"/>
                <w:sz w:val="18"/>
                <w:szCs w:val="18"/>
              </w:rPr>
              <w:t>Review of non-complex legal agreements – up to 3/month.</w:t>
            </w:r>
          </w:p>
          <w:p w14:paraId="0000156E" w14:textId="77777777" w:rsidR="00B073E6" w:rsidRDefault="00000000">
            <w:pPr>
              <w:spacing w:after="28" w:line="244" w:lineRule="auto"/>
            </w:pPr>
            <w:r>
              <w:rPr>
                <w:rFonts w:ascii="Quicksand" w:eastAsia="Quicksand" w:hAnsi="Quicksand" w:cs="Quicksand"/>
                <w:color w:val="1A1A1A"/>
                <w:sz w:val="18"/>
                <w:szCs w:val="18"/>
              </w:rPr>
              <w:t>Drafting of new agreements tailored to client requirements – up to 1/month.</w:t>
            </w:r>
          </w:p>
          <w:p w14:paraId="0000156F" w14:textId="77777777" w:rsidR="00B073E6" w:rsidRDefault="00000000">
            <w:pPr>
              <w:spacing w:after="4" w:line="244" w:lineRule="auto"/>
            </w:pPr>
            <w:r>
              <w:rPr>
                <w:rFonts w:ascii="Quicksand" w:eastAsia="Quicksand" w:hAnsi="Quicksand" w:cs="Quicksand"/>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70" w14:textId="77777777" w:rsidR="00B073E6" w:rsidRDefault="00000000">
            <w:pPr>
              <w:spacing w:after="28" w:line="244" w:lineRule="auto"/>
            </w:pPr>
            <w:r>
              <w:rPr>
                <w:rFonts w:ascii="Quicksand" w:eastAsia="Quicksand" w:hAnsi="Quicksand" w:cs="Quicksand"/>
                <w:color w:val="1A1A1A"/>
                <w:sz w:val="18"/>
                <w:szCs w:val="18"/>
              </w:rPr>
              <w:t>Management time for review and approval of open points on agreements.</w:t>
            </w:r>
          </w:p>
          <w:p w14:paraId="00001571" w14:textId="77777777" w:rsidR="00B073E6" w:rsidRDefault="00000000">
            <w:pPr>
              <w:spacing w:after="28" w:line="244" w:lineRule="auto"/>
            </w:pPr>
            <w:r>
              <w:rPr>
                <w:rFonts w:ascii="Quicksand" w:eastAsia="Quicksand" w:hAnsi="Quicksand" w:cs="Quicksand"/>
                <w:color w:val="1A1A1A"/>
                <w:sz w:val="18"/>
                <w:szCs w:val="18"/>
              </w:rPr>
              <w:t>Background on drafting/review requirements.</w:t>
            </w:r>
          </w:p>
          <w:p w14:paraId="00001572" w14:textId="77777777" w:rsidR="00B073E6" w:rsidRDefault="00000000">
            <w:pPr>
              <w:spacing w:after="4" w:line="244" w:lineRule="auto"/>
            </w:pPr>
            <w:r>
              <w:rPr>
                <w:rFonts w:ascii="Quicksand" w:eastAsia="Quicksand" w:hAnsi="Quicksand" w:cs="Quicksand"/>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73" w14:textId="77777777" w:rsidR="00B073E6" w:rsidRDefault="00000000">
            <w:pPr>
              <w:spacing w:after="4" w:line="244" w:lineRule="auto"/>
            </w:pPr>
            <w:r>
              <w:rPr>
                <w:rFonts w:ascii="Quicksand" w:eastAsia="Quicksand" w:hAnsi="Quicksand" w:cs="Quicksand"/>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74"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57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57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77"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57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79"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7A"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7B"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7C"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7D"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57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7F" w14:textId="77777777" w:rsidR="00B073E6" w:rsidRDefault="00000000">
            <w:pPr>
              <w:spacing w:after="28" w:line="244" w:lineRule="auto"/>
            </w:pPr>
            <w:r>
              <w:rPr>
                <w:rFonts w:ascii="Quicksand" w:eastAsia="Quicksand" w:hAnsi="Quicksand" w:cs="Quicksand"/>
                <w:b/>
                <w:bCs/>
                <w:color w:val="1B6B6B"/>
                <w:sz w:val="18"/>
                <w:szCs w:val="18"/>
              </w:rPr>
              <w:t>H1</w:t>
            </w:r>
          </w:p>
          <w:p w14:paraId="00001580"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81"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582"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583"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584"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585"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586"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87"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588"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89"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8A"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58B" w14:textId="77777777" w:rsidR="00B073E6" w:rsidRDefault="00B073E6">
      <w:pPr>
        <w:spacing w:after="36"/>
      </w:pPr>
    </w:p>
    <w:p w14:paraId="0000158C"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58D"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8E"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8F"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90"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91"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92"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59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94"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95"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96"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97"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98"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59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9A"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9B" w14:textId="77777777" w:rsidR="00B073E6" w:rsidRDefault="00000000">
            <w:pPr>
              <w:spacing w:after="4" w:line="244" w:lineRule="auto"/>
            </w:pPr>
            <w:r>
              <w:rPr>
                <w:rFonts w:ascii="Quicksand" w:eastAsia="Quicksand" w:hAnsi="Quicksand" w:cs="Quicksand"/>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9C"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9D"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9E"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r w:rsidR="00B073E6" w14:paraId="0000159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0" w14:textId="77777777" w:rsidR="00B073E6" w:rsidRDefault="00000000">
            <w:pPr>
              <w:spacing w:after="4" w:line="244" w:lineRule="auto"/>
            </w:pPr>
            <w:r>
              <w:rPr>
                <w:rFonts w:ascii="Quicksand" w:eastAsia="Quicksand" w:hAnsi="Quicksand" w:cs="Quicksand"/>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1" w14:textId="77777777" w:rsidR="00B073E6" w:rsidRDefault="00000000">
            <w:pPr>
              <w:spacing w:after="4" w:line="244" w:lineRule="auto"/>
            </w:pPr>
            <w:r>
              <w:rPr>
                <w:rFonts w:ascii="Quicksand" w:eastAsia="Quicksand" w:hAnsi="Quicksand" w:cs="Quicksand"/>
                <w:b/>
                <w:bCs/>
                <w:color w:val="1B6B6B"/>
                <w:sz w:val="18"/>
                <w:szCs w:val="18"/>
              </w:rPr>
              <w:t>G1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2" w14:textId="77777777" w:rsidR="00B073E6" w:rsidRDefault="00000000">
            <w:pPr>
              <w:spacing w:after="4" w:line="244" w:lineRule="auto"/>
            </w:pPr>
            <w:r>
              <w:rPr>
                <w:rFonts w:ascii="Quicksand" w:eastAsia="Quicksand" w:hAnsi="Quicksand" w:cs="Quicksand"/>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3"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4"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5A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5A6"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A7"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5A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9"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A"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5A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AC"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AD"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5A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F"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B0"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5B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B2"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B3"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5B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B5"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B6"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5B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B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B9"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5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BB"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5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BD"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5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BF"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5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C1"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5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C3"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5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C5"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5C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C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C8"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5C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CA"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5C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CC"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5C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C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CF"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5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D1"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