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740"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2026-06-08</w:t>
      </w:r>
    </w:p>
    <w:p w14:paraId="0000172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72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72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Financial Year 26-27</w:t>
      </w:r>
    </w:p>
    <w:p w14:paraId="0000172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10x,</w:t>
      </w:r>
    </w:p>
    <w:p w14:paraId="0000172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73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73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73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73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73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73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73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73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73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73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73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73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73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73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73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73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742"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743" w14:textId="77777777" w:rsidR="00B073E6" w:rsidRDefault="00B073E6">
      <w:pPr>
        <w:spacing w:after="36"/>
      </w:pPr>
    </w:p>
    <w:p w14:paraId="00001744"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1745" w14:textId="77777777" w:rsidR="002549F2" w:rsidRDefault="002549F2">
      <w:pPr>
        <w:spacing w:before="40" w:after="40" w:line="220" w:lineRule="auto"/>
      </w:pPr>
      <w:r>
        <w:rPr>
          <w:rFonts w:ascii="Quicksand" w:eastAsia="Quicksand" w:hAnsi="Quicksand" w:cs="Quicksand"/>
          <w:sz w:val="20"/>
          <w:szCs w:val="20"/>
        </w:rPr>
        <w:t xml:space="preserve"> </w:t>
      </w:r>
    </w:p>
    <w:p w14:paraId="00001746"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74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48"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49" w14:textId="77777777" w:rsidR="00B073E6" w:rsidRDefault="00B073E6">
            <w:pPr>
              <w:spacing w:after="28" w:line="244" w:lineRule="auto"/>
              <w:jc w:val="right"/>
            </w:pPr>
          </w:p>
        </w:tc>
      </w:tr>
      <w:tr w:rsidR="00B073E6" w14:paraId="0000174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4B" w14:textId="77777777" w:rsidR="00B073E6" w:rsidRDefault="00000000">
            <w:pPr>
              <w:spacing w:after="28" w:line="244" w:lineRule="auto"/>
            </w:pPr>
            <w:r>
              <w:rPr>
                <w:rFonts w:ascii="Quicksand" w:eastAsia="Quicksand" w:hAnsi="Quicksand" w:cs="Quicksand"/>
                <w:b/>
                <w:bCs/>
                <w:color w:val="1B6B6B"/>
                <w:sz w:val="18"/>
                <w:szCs w:val="18"/>
              </w:rPr>
              <w:t>R.</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4C"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74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74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4F" w14:textId="77777777" w:rsidR="00B073E6" w:rsidRDefault="00000000">
            <w:pPr>
              <w:spacing w:after="28" w:line="244" w:lineRule="auto"/>
            </w:pPr>
            <w:r>
              <w:rPr>
                <w:rFonts w:ascii="Quicksand" w:eastAsia="Quicksand" w:hAnsi="Quicksand" w:cs="Quicksand"/>
                <w:b/>
                <w:bCs/>
                <w:color w:val="FFFFFF"/>
                <w:sz w:val="20"/>
                <w:szCs w:val="20"/>
              </w:rPr>
              <w:t xml:space="preserve">R.  UAE Accounting &amp; Compliance Services</w:t>
            </w:r>
          </w:p>
        </w:tc>
      </w:tr>
      <w:tr w:rsidR="00B073E6" w14:paraId="0000175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51"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52"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53"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54"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5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75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57" w14:textId="77777777" w:rsidR="00B073E6" w:rsidRDefault="00000000">
            <w:pPr>
              <w:spacing w:after="28" w:line="244" w:lineRule="auto"/>
            </w:pPr>
            <w:r>
              <w:rPr>
                <w:rFonts w:ascii="Quicksand" w:eastAsia="Quicksand" w:hAnsi="Quicksand" w:cs="Quicksand"/>
                <w:b/>
                <w:bCs/>
                <w:color w:val="1B6B6B"/>
                <w:sz w:val="18"/>
                <w:szCs w:val="18"/>
              </w:rPr>
              <w:t>R4</w:t>
            </w:r>
          </w:p>
          <w:p w14:paraId="00001758" w14:textId="77777777" w:rsidR="00B073E6" w:rsidRDefault="00000000">
            <w:pPr>
              <w:spacing w:after="4" w:line="244" w:lineRule="auto"/>
            </w:pPr>
            <w:r>
              <w:rPr>
                <w:rFonts w:ascii="Quicksand" w:eastAsia="Quicksand" w:hAnsi="Quicksand" w:cs="Quicksand"/>
                <w:color w:val="1A1A1A"/>
                <w:sz w:val="18"/>
                <w:szCs w:val="18"/>
              </w:rPr>
              <w:t>CT Advisory – Initial</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59" w14:textId="77777777" w:rsidR="00B073E6" w:rsidRDefault="00000000">
            <w:pPr>
              <w:spacing w:after="28" w:line="244" w:lineRule="auto"/>
            </w:pPr>
            <w:r>
              <w:rPr>
                <w:rFonts w:ascii="Quicksand" w:eastAsia="Quicksand" w:hAnsi="Quicksand" w:cs="Quicksand"/>
                <w:color w:val="1A1A1A"/>
                <w:sz w:val="18"/>
                <w:szCs w:val="18"/>
              </w:rPr>
              <w:t>Tax impact assessment: business structure, revenue streams, intercompany transactions.</w:t>
            </w:r>
          </w:p>
          <w:p w14:paraId="0000175A" w14:textId="77777777" w:rsidR="00B073E6" w:rsidRDefault="00000000">
            <w:pPr>
              <w:spacing w:after="28" w:line="244" w:lineRule="auto"/>
            </w:pPr>
            <w:r>
              <w:rPr>
                <w:rFonts w:ascii="Quicksand" w:eastAsia="Quicksand" w:hAnsi="Quicksand" w:cs="Quicksand"/>
                <w:color w:val="1A1A1A"/>
                <w:sz w:val="18"/>
                <w:szCs w:val="18"/>
              </w:rPr>
              <w:t>Legal structure and exemption advisory (qualifying free zone, restructuring options).</w:t>
            </w:r>
          </w:p>
          <w:p w14:paraId="0000175B" w14:textId="77777777" w:rsidR="00B073E6" w:rsidRDefault="00000000">
            <w:pPr>
              <w:spacing w:after="28" w:line="244" w:lineRule="auto"/>
            </w:pPr>
            <w:r>
              <w:rPr>
                <w:rFonts w:ascii="Quicksand" w:eastAsia="Quicksand" w:hAnsi="Quicksand" w:cs="Quicksand"/>
                <w:color w:val="1A1A1A"/>
                <w:sz w:val="18"/>
                <w:szCs w:val="18"/>
              </w:rPr>
              <w:t>Chart of accounts alignment for UAE CT; opening balance sheet preparation.</w:t>
            </w:r>
          </w:p>
          <w:p w14:paraId="0000175C" w14:textId="77777777" w:rsidR="00B073E6" w:rsidRDefault="00000000">
            <w:pPr>
              <w:spacing w:after="4" w:line="244" w:lineRule="auto"/>
            </w:pPr>
            <w:r>
              <w:rPr>
                <w:rFonts w:ascii="Quicksand" w:eastAsia="Quicksand" w:hAnsi="Quicksand" w:cs="Quicksand"/>
                <w:color w:val="1A1A1A"/>
                <w:sz w:val="18"/>
                <w:szCs w:val="18"/>
              </w:rPr>
              <w:t>Ongoing CT advisory: transfer pricing, deductible expenses, related-party rules.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5D"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5E"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5F" w14:textId="77777777" w:rsidR="00B073E6" w:rsidRDefault="00000000">
            <w:pPr>
              <w:spacing w:after="4" w:line="244" w:lineRule="auto"/>
              <w:jc w:val="right"/>
            </w:pPr>
            <w:r>
              <w:rPr>
                <w:rFonts w:ascii="Quicksand" w:eastAsia="Quicksand" w:hAnsi="Quicksand" w:cs="Quicksand"/>
                <w:b/>
                <w:bCs/>
                <w:color w:val="1B3A5C"/>
                <w:sz w:val="18"/>
                <w:szCs w:val="18"/>
              </w:rPr>
              <w:t>₹15,000 one-time</w:t>
            </w:r>
          </w:p>
        </w:tc>
      </w:tr>
      <w:tr w:rsidR="00B073E6" w14:paraId="0000176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61" w14:textId="77777777" w:rsidR="00B073E6" w:rsidRDefault="00000000">
            <w:pPr>
              <w:spacing w:after="28" w:line="244" w:lineRule="auto"/>
            </w:pPr>
            <w:r>
              <w:rPr>
                <w:rFonts w:ascii="Quicksand" w:eastAsia="Quicksand" w:hAnsi="Quicksand" w:cs="Quicksand"/>
                <w:b/>
                <w:bCs/>
                <w:color w:val="1B6B6B"/>
                <w:sz w:val="18"/>
                <w:szCs w:val="18"/>
              </w:rPr>
              <w:t>R1</w:t>
            </w:r>
          </w:p>
          <w:p w14:paraId="00001762"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63" w14:textId="77777777" w:rsidR="00B073E6" w:rsidRDefault="00000000">
            <w:pPr>
              <w:spacing w:after="28" w:line="244" w:lineRule="auto"/>
            </w:pPr>
            <w:r>
              <w:rPr>
                <w:rFonts w:ascii="Quicksand" w:eastAsia="Quicksand" w:hAnsi="Quicksand" w:cs="Quicksand"/>
                <w:color w:val="1A1A1A"/>
                <w:sz w:val="18"/>
                <w:szCs w:val="18"/>
              </w:rPr>
              <w:t>IFRS-compliant bookkeeping with monthly closures and reconciliations; chart of accounts and system setup.</w:t>
            </w:r>
          </w:p>
          <w:p w14:paraId="00001764" w14:textId="77777777" w:rsidR="00B073E6" w:rsidRDefault="00000000">
            <w:pPr>
              <w:spacing w:after="28" w:line="244" w:lineRule="auto"/>
            </w:pPr>
            <w:r>
              <w:rPr>
                <w:rFonts w:ascii="Quicksand" w:eastAsia="Quicksand" w:hAnsi="Quicksand" w:cs="Quicksand"/>
                <w:color w:val="1A1A1A"/>
                <w:sz w:val="18"/>
                <w:szCs w:val="18"/>
              </w:rPr>
              <w:t>AP/AR tracking with ageing analysis; bank and intercompany reconciliations.</w:t>
            </w:r>
          </w:p>
          <w:p w14:paraId="00001765" w14:textId="77777777" w:rsidR="00B073E6" w:rsidRDefault="00000000">
            <w:pPr>
              <w:spacing w:after="28" w:line="244" w:lineRule="auto"/>
            </w:pPr>
            <w:r>
              <w:rPr>
                <w:rFonts w:ascii="Quicksand" w:eastAsia="Quicksand" w:hAnsi="Quicksand" w:cs="Quicksand"/>
                <w:color w:val="1A1A1A"/>
                <w:sz w:val="18"/>
                <w:szCs w:val="18"/>
              </w:rPr>
              <w:t>Monthly MIS: P&amp;L, balance sheet and cash flow with key insights.</w:t>
            </w:r>
          </w:p>
          <w:p w14:paraId="00001766" w14:textId="77777777" w:rsidR="00B073E6" w:rsidRDefault="00000000">
            <w:pPr>
              <w:spacing w:after="28" w:line="244" w:lineRule="auto"/>
            </w:pPr>
            <w:r>
              <w:rPr>
                <w:rFonts w:ascii="Quicksand" w:eastAsia="Quicksand" w:hAnsi="Quicksand" w:cs="Quicksand"/>
                <w:color w:val="1A1A1A"/>
                <w:sz w:val="18"/>
                <w:szCs w:val="18"/>
              </w:rPr>
              <w:t>Year-end audit support: coordinate with auditors, prepare schedules, finalise financial statements.</w:t>
            </w:r>
          </w:p>
          <w:p w14:paraId="00001767" w14:textId="77777777" w:rsidR="00B073E6" w:rsidRDefault="00000000">
            <w:pPr>
              <w:spacing w:after="4" w:line="244" w:lineRule="auto"/>
            </w:pPr>
            <w:r>
              <w:rPr>
                <w:rFonts w:ascii="Quicksand" w:eastAsia="Quicksand" w:hAnsi="Quicksand" w:cs="Quicksand"/>
                <w:color w:val="1A1A1A"/>
                <w:sz w:val="18"/>
                <w:szCs w:val="18"/>
              </w:rPr>
              <w:t>Not included: Legal advisory and representation; services not specifically mentioned are excluded unless mutually agreed in writing.</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68" w14:textId="77777777" w:rsidR="00B073E6" w:rsidRDefault="00000000">
            <w:pPr>
              <w:spacing w:after="28" w:line="244" w:lineRule="auto"/>
            </w:pPr>
            <w:r>
              <w:rPr>
                <w:rFonts w:ascii="Quicksand" w:eastAsia="Quicksand" w:hAnsi="Quicksand" w:cs="Quicksand"/>
                <w:color w:val="1A1A1A"/>
                <w:sz w:val="18"/>
                <w:szCs w:val="18"/>
              </w:rPr>
              <w:t>Timely sharing of accurate financial, legal and transactional data.</w:t>
            </w:r>
          </w:p>
          <w:p w14:paraId="00001769" w14:textId="77777777" w:rsidR="00B073E6" w:rsidRDefault="00000000">
            <w:pPr>
              <w:spacing w:after="28" w:line="244" w:lineRule="auto"/>
            </w:pPr>
            <w:r>
              <w:rPr>
                <w:rFonts w:ascii="Quicksand" w:eastAsia="Quicksand" w:hAnsi="Quicksand" w:cs="Quicksand"/>
                <w:color w:val="1A1A1A"/>
                <w:sz w:val="18"/>
                <w:szCs w:val="18"/>
              </w:rPr>
              <w:t>Internal coordination; maintain accessible records, invoices, contracts and supporting documents.</w:t>
            </w:r>
          </w:p>
          <w:p w14:paraId="0000176A" w14:textId="77777777" w:rsidR="00B073E6" w:rsidRDefault="00000000">
            <w:pPr>
              <w:spacing w:after="4" w:line="244" w:lineRule="auto"/>
            </w:pPr>
            <w:r>
              <w:rPr>
                <w:rFonts w:ascii="Quicksand" w:eastAsia="Quicksand" w:hAnsi="Quicksand" w:cs="Quicksand"/>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6B" w14:textId="77777777" w:rsidR="00B073E6" w:rsidRDefault="00000000">
            <w:pPr>
              <w:spacing w:after="4" w:line="244" w:lineRule="auto"/>
            </w:pPr>
            <w:r>
              <w:rPr>
                <w:rFonts w:ascii="Quicksand" w:eastAsia="Quicksand" w:hAnsi="Quicksand" w:cs="Quicksand"/>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6C" w14:textId="77777777" w:rsidR="00B073E6" w:rsidRDefault="00000000">
            <w:pPr>
              <w:spacing w:after="4" w:line="244" w:lineRule="auto"/>
              <w:jc w:val="right"/>
            </w:pPr>
            <w:r>
              <w:rPr>
                <w:rFonts w:ascii="Quicksand" w:eastAsia="Quicksand" w:hAnsi="Quicksand" w:cs="Quicksand"/>
                <w:b/>
                <w:bCs/>
                <w:color w:val="1B3A5C"/>
                <w:sz w:val="18"/>
                <w:szCs w:val="18"/>
              </w:rPr>
              <w:t>₹5,000/month</w:t>
            </w:r>
          </w:p>
        </w:tc>
      </w:tr>
    </w:tbl>
    <w:p w14:paraId="0000176D" w14:textId="77777777" w:rsidR="00B073E6" w:rsidRDefault="00B073E6">
      <w:pPr>
        <w:spacing w:after="36"/>
      </w:pPr>
    </w:p>
    <w:p w14:paraId="0000176E"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76F"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70"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71"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72"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73"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77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77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76" w14:textId="77777777" w:rsidR="00B073E6" w:rsidRDefault="00000000">
            <w:pPr>
              <w:spacing w:after="4" w:line="244" w:lineRule="auto"/>
            </w:pPr>
            <w:r>
              <w:rPr>
                <w:rFonts w:ascii="Quicksand" w:eastAsia="Quicksand" w:hAnsi="Quicksand" w:cs="Quicksand"/>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77" w14:textId="77777777" w:rsidR="00B073E6" w:rsidRDefault="00000000">
            <w:pPr>
              <w:spacing w:after="4" w:line="244" w:lineRule="auto"/>
            </w:pPr>
            <w:r>
              <w:rPr>
                <w:rFonts w:ascii="Quicksand" w:eastAsia="Quicksand" w:hAnsi="Quicksand" w:cs="Quicksand"/>
                <w:b/>
                <w:bCs/>
                <w:color w:val="1B6B6B"/>
                <w:sz w:val="18"/>
                <w:szCs w:val="18"/>
              </w:rPr>
              <w:t>R4</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78" w14:textId="77777777" w:rsidR="00B073E6" w:rsidRDefault="00000000">
            <w:pPr>
              <w:spacing w:after="4" w:line="244" w:lineRule="auto"/>
            </w:pPr>
            <w:r>
              <w:rPr>
                <w:rFonts w:ascii="Quicksand" w:eastAsia="Quicksand" w:hAnsi="Quicksand" w:cs="Quicksand"/>
                <w:color w:val="1A1A1A"/>
                <w:sz w:val="18"/>
                <w:szCs w:val="18"/>
              </w:rPr>
              <w:t>CT Advisory – Initial</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79"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7A" w14:textId="77777777" w:rsidR="00B073E6" w:rsidRDefault="00000000">
            <w:pPr>
              <w:spacing w:after="4" w:line="244" w:lineRule="auto"/>
              <w:jc w:val="right"/>
            </w:pPr>
            <w:r>
              <w:rPr>
                <w:rFonts w:ascii="Quicksand" w:eastAsia="Quicksand" w:hAnsi="Quicksand" w:cs="Quicksand"/>
                <w:b/>
                <w:bCs/>
                <w:color w:val="1B3A5C"/>
                <w:sz w:val="18"/>
                <w:szCs w:val="18"/>
              </w:rPr>
              <w:t>₹15,000 one-time</w:t>
            </w:r>
          </w:p>
        </w:tc>
      </w:tr>
      <w:tr w:rsidR="00B073E6" w14:paraId="0000177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7C" w14:textId="77777777" w:rsidR="00B073E6" w:rsidRDefault="00000000">
            <w:pPr>
              <w:spacing w:after="4" w:line="244" w:lineRule="auto"/>
            </w:pPr>
            <w:r>
              <w:rPr>
                <w:rFonts w:ascii="Quicksand" w:eastAsia="Quicksand" w:hAnsi="Quicksand" w:cs="Quicksand"/>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7D" w14:textId="77777777" w:rsidR="00B073E6" w:rsidRDefault="00000000">
            <w:pPr>
              <w:spacing w:after="4" w:line="244" w:lineRule="auto"/>
            </w:pPr>
            <w:r>
              <w:rPr>
                <w:rFonts w:ascii="Quicksand" w:eastAsia="Quicksand" w:hAnsi="Quicksand" w:cs="Quicksand"/>
                <w:b/>
                <w:bCs/>
                <w:color w:val="1B6B6B"/>
                <w:sz w:val="18"/>
                <w:szCs w:val="18"/>
              </w:rPr>
              <w:t>R1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7E"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7F"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80" w14:textId="77777777" w:rsidR="00B073E6" w:rsidRDefault="00000000">
            <w:pPr>
              <w:spacing w:after="4" w:line="244" w:lineRule="auto"/>
              <w:jc w:val="right"/>
            </w:pPr>
            <w:r>
              <w:rPr>
                <w:rFonts w:ascii="Quicksand" w:eastAsia="Quicksand" w:hAnsi="Quicksand" w:cs="Quicksand"/>
                <w:b/>
                <w:bCs/>
                <w:color w:val="1B3A5C"/>
                <w:sz w:val="18"/>
                <w:szCs w:val="18"/>
              </w:rPr>
              <w:t>₹5,000/month</w:t>
            </w:r>
          </w:p>
        </w:tc>
      </w:tr>
    </w:tbl>
    <w:p w14:paraId="0000178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782"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83"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78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85"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86"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78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88"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89"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78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8B"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8C"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78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8E"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8F"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79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91"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92"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79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9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95"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7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97"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7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99"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79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9B"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7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9D"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7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9F"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7A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A1"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7A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A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A4"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7A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A6"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7A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A8"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7A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7A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7AB"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7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AD"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7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AF"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7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B1"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7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B3"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7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B5"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7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B7"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7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B9"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7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BB"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7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BD"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7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BF"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7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C1"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7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C3"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7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C5"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7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C7"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7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C9"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7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CB"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7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CD"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7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CF"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7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D1"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7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D3"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7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D5"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7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D7"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7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D9"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7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DB"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7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DD"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7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DF"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7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E1"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7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E3"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7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E5"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7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E7"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7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E9"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7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EB"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7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ED"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7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EF"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7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F1"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7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F3"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7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F5"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7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F7"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7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F9"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7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FB"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7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7FD"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7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7FF"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8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01"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