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w:p w14:paraId="000010C5" w14:textId="77777777" w:rsidR="002549F2" w:rsidRDefault="002549F2"><w:pPr><w:spacing w:before="40" w:after="60" w:line="276" w:lineRule="auto" /><w:jc w:val="right"/><w:rPr><w:rFonts w:ascii="Inter" w:eastAsia="Inter" w:hAnsi="Inter" w:cs="Inter" /><w:sz w:val="22" /><w:szCs w:val="22" /></w:rPr></w:pPr><w:r><w:rPr><w:rFonts w:ascii="Inter" w:eastAsia="Inter" w:hAnsi="Inter" w:cs="Inter" /><w:sz w:val="22" /><w:szCs w:val="22" /></w:rPr><w:t xml:space="preserve">Date 2026-05-13</w:t></w:r></w:p><w:p w14:paraId="000010B0"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B1"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B2"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Sub: Engagement Letter for Nexus Fintech - Financial Year 26-27</w:t></w:r></w:p><w:p w14:paraId="000010B3"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Hi Nexus,</w:t></w:r></w:p><w:p w14:paraId="000010B4"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w:r></w:p><w:p w14:paraId="000010B5"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procure services under this Agreement for yourself and for those of your consolidated subsidiaries or affiliates that you bind to this Agreement by your signature, or which separately agree to the provisions of this engagement letter (collectively, the &quot;Subsidiaries&quot; or “Affiliates”).</w:t></w:r></w:p><w:p w14:paraId="000010B6"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w:r></w:p><w:p w14:paraId="000010B7"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Yours sincerely,</w:t></w:r></w:p><w:p w14:paraId="000010B8"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w:t></w:r></w:p><w:p w14:paraId="000010B9"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Siddharth Kohli</w:t></w:r></w:p><w:p w14:paraId="000010BA"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CEO / Founder</w:t></w:r></w:p><w:p w14:paraId="000010BB"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Email : </w:t></w:r><w:r><w:rPr><w:rFonts w:ascii="Inter" w:eastAsia="Inter" w:hAnsi="Inter" w:cs="Inter" /><w:color w:val="0563C1" /><w:u w:val="single" /><w:sz w:val="22" /><w:szCs w:val="22" /></w:rPr><w:t xml:space="preserve">siddharth@10xglobal.in</w:t></w:r></w:p><w:p w14:paraId="000010BC"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Phone : —</w:t></w:r></w:p><w:p w14:paraId="000010BD"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Acceptance</w:t></w:r></w:p><w:p w14:paraId="000010BE"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The scope of the Services is sufficient for our purposes and the terms of this engagement are accepted on behalf of Nexus</w:t></w:r></w:p><w:p w14:paraId="000010BF"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________________________________________________________________________________________</w:t></w:r></w:p><w:p w14:paraId="000010C0"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Authorized signatory</w:t></w:r></w:p><w:p w14:paraId="000010C1"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10X Global Pvt Ltd</w:t></w:r></w:p><w:p w14:paraId="000010C2"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2/6, 2nd floor, West Patel Nagar, New Delhi 110008 India</w:t></w:r></w:p><w:p w14:paraId="000010C3"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www.10x.global | info@10x.global</w:t></w:r></w:p><w:p w14:paraId="000010C4"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br w:type="page"/></w:r></w:p><w:p w14:paraId="000010C6"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BACKGROUND</w:t></w:r></w:p><w:p w14:paraId="000010C7" w14:textId="77777777" w:rsidR="002549F2" w:rsidRDefault="002549F2"><w:pPr><w:spacing w:before="40" w:after="40" w:line="220" w:lineRule="auto" /></w:pPr><w:r><w:rPr><w:rFonts w:ascii="Times New Roman" w:eastAsia="Inter" w:hAnsi="Times New Roman" w:cs="Times New Roman" /><w:sz w:val="22" /><w:szCs w:val="22" /></w:rPr><w:t xml:space="preserve"> </w:t></w:r></w:p><w:p w14:paraId="000010C8"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Nexus Fintech is a leading company that provides quality services and solutions to its clients.</w:t></w:r></w:p><w:p w14:paraId="000010C9" w14:textId="77777777" w:rsidR="002549F2" w:rsidRDefault="002549F2"><w:pPr><w:spacing w:before="40" w:after="40" w:line="220" w:lineRule="auto" /></w:pPr><w:r><w:rPr><w:rFonts w:ascii="Times New Roman" w:eastAsia="Inter" w:hAnsi="Times New Roman" w:cs="Times New Roman" /><w:sz w:val="22" /><w:szCs w:val="22" /></w:rPr><w:t xml:space="preserve"> </w:t></w:r></w:p><w:p w14:paraId="000010CA"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In-scope processes / services</w:t></w:r></w:p><w:p w14:paraId="000010CB" w14:textId="77777777" w:rsidR="002549F2" w:rsidRDefault="002549F2"><w:pPr><w:spacing w:before="40" w:after="40" w:line="220" w:lineRule="auto" /></w:pPr><w:r><w:rPr><w:rFonts w:ascii="Times New Roman" w:eastAsia="Inter" w:hAnsi="Times New Roman" w:cs="Times New Roman" /><w:sz w:val="22" /><w:szCs w:val="22" /></w:rPr><w:t xml:space="preserve"> </w:t></w:r></w:p><w:p w14:paraId="000010CC"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A. Transfer pricing audit — Form 3CEB</w:t></w:r></w:p><w:p w14:paraId="000010CD"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B. TDS/TCS — monthly compliance</w:t></w:r></w:p><w:p w14:paraId="000010CE" w14:textId="77777777" w:rsidR="002549F2" w:rsidRDefault="002549F2"><w:pPr><w:spacing w:before="40" w:after="40" w:line="220" w:lineRule="auto" /></w:pPr><w:r><w:rPr><w:rFonts w:ascii="Times New Roman" w:eastAsia="Inter" w:hAnsi="Times New Roman" w:cs="Times New Roman" /><w:sz w:val="22" /><w:szCs w:val="22" /></w:rPr><w:t xml:space="preserve"> </w:t></w:r></w:p><w:p w14:paraId="000010CF"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A. Financial Reporting &amp; Compliance</w:t></w:r></w:p><w:p w14:paraId="000010D0" w14:textId="77777777" w:rsidR="002549F2" w:rsidRDefault="002549F2"><w:pPr><w:spacing w:before="40" w:after="40" w:line="220" w:lineRule="auto" /></w:pPr><w:r><w:rPr><w:rFonts w:ascii="Times New Roman" w:eastAsia="Inter" w:hAnsi="Times New Roman" w:cs="Times New Roman" /><w:sz w:val="22" /><w:szCs w:val="22" /></w:rPr><w:t xml:space="preserve"> </w:t></w:r></w:p><w:p w14:paraId="000010D1"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10x&apos;s Responsibilities:</w:t></w:r></w:p><w:p w14:paraId="000010D2"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H3. Transfer pricing audit — Form 3CEB</w:t></w:r></w:p><w:p w14:paraId="000010D3"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H3: INR 50,000 Yearly</w:t></w:r></w:p><w:p w14:paraId="000010D4" w14:textId="77777777" w:rsidR="002549F2" w:rsidRDefault="002549F2"><w:pPr><w:spacing w:before="40" w:after="40" w:line="220" w:lineRule="auto" /></w:pPr><w:r><w:rPr><w:rFonts w:ascii="Times New Roman" w:eastAsia="Inter" w:hAnsi="Times New Roman" w:cs="Times New Roman" /><w:sz w:val="22" /><w:szCs w:val="22" /></w:rPr><w:t xml:space="preserve"> </w:t></w:r></w:p><w:p w14:paraId="000010D5"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B. Transactions &amp; Regulatory Compliance</w:t></w:r></w:p><w:p w14:paraId="000010D6" w14:textId="77777777" w:rsidR="002549F2" w:rsidRDefault="002549F2"><w:pPr><w:spacing w:before="40" w:after="40" w:line="220" w:lineRule="auto" /></w:pPr><w:r><w:rPr><w:rFonts w:ascii="Times New Roman" w:eastAsia="Inter" w:hAnsi="Times New Roman" w:cs="Times New Roman" /><w:sz w:val="22" /><w:szCs w:val="22" /></w:rPr><w:t xml:space="preserve"> </w:t></w:r></w:p><w:p w14:paraId="000010D7"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10x&apos;s Responsibilities:</w:t></w:r></w:p><w:p w14:paraId="000010D8"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C1. TDS/TCS — monthly compliance</w:t></w:r></w:p><w:p w14:paraId="000010D9"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C1: INR 8,000 Monthly</w:t></w:r></w:p><w:p w14:paraId="000010DA" w14:textId="77777777" w:rsidR="002549F2" w:rsidRDefault="002549F2"><w:pPr><w:spacing w:before="40" w:after="40" w:line="220" w:lineRule="auto" /></w:pPr><w:r><w:rPr><w:rFonts w:ascii="Times New Roman" w:eastAsia="Inter" w:hAnsi="Times New Roman" w:cs="Times New Roman" /><w:sz w:val="22" /><w:szCs w:val="22" /></w:rPr><w:t xml:space="preserve"> </w:t></w:r></w:p><w:p w14:paraId="000010DB"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Summary of Fees</w:t></w:r></w:p><w:p w14:paraId="000010DC" w14:textId="77777777" w:rsidR="002549F2" w:rsidRDefault="002549F2"><w:pPr><w:spacing w:before="40" w:after="40" w:line="220" w:lineRule="auto" /></w:pPr><w:r><w:rPr><w:rFonts w:ascii="Times New Roman" w:eastAsia="Inter" w:hAnsi="Times New Roman" w:cs="Times New Roman" /><w:sz w:val="22" /><w:szCs w:val="22" /></w:rPr><w:t xml:space="preserve"> </w:t></w:r></w:p><w:tbl><w:tblPr><w:tblStyle w:val="af1" /><w:tblW w:w="9016" w:type="dxa" /><w:tblBorders><w:top w:val="single" w:sz="4" w:space="0" w:color="000000" /><w:left w:val="single" w:sz="4" w:space="0" w:color="000000" /><w:bottom w:val="single" w:sz="4" w:space="0" w:color="000000" /><w:right w:val="single" w:sz="4" w:space="0" w:color="000000" /><w:insideH w:val="single" w:sz="4" w:space="0" w:color="000000" /><w:insideV w:val="single" w:sz="4" w:space="0" w:color="000000" /></w:tblBorders><w:tblLayout w:type="fixed" /><w:tblLook w:val="0400" w:firstRow="0" w:lastRow="0" w:firstColumn="0" w:lastColumn="0" w:noHBand="0" w:noVBand="1" /></w:tblPr><w:tblGrid><w:gridCol w:w="1921" /><w:gridCol w:w="1795" /><w:gridCol w:w="1784" /><w:gridCol w:w="1739" /><w:gridCol w:w="1777" /></w:tblGrid><w:tr w:rsidR="002549F2" w14:paraId="000010DD" w14:textId="77777777"><w:trPr><w:cantSplit /><w:trHeight w:val="299" /></w:trPr><w:tc><w:tcPr><w:tcW w:w="1921" w:type="dxa" /></w:tcPr><w:p w14:paraId="000010DE"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Section</w:t></w:r></w:p></w:tc><w:tc><w:tcPr><w:tcW w:w="1795" w:type="dxa" /></w:tcPr><w:p w14:paraId="000010DF"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Sub Section</w:t></w:r></w:p></w:tc><w:tc><w:tcPr><w:tcW w:w="1784" w:type="dxa" /></w:tcPr><w:p w14:paraId="000010E0"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Description</w:t></w:r></w:p></w:tc><w:tc><w:tcPr><w:tcW w:w="1739" w:type="dxa" /></w:tcPr><w:p w14:paraId="000010E1"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Frequency</w:t></w:r></w:p></w:tc><w:tc><w:tcPr><w:tcW w:w="1777" w:type="dxa" /></w:tcPr><w:p w14:paraId="000010E2"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Fees AED / INR / SGD / USD</w:t></w:r></w:p></w:tc></w:tr><w:tr w:rsidR="002549F2" w14:paraId="000010E3" w14:textId="77777777"><w:trPr><w:trHeight w:val="300" /></w:trPr><w:tc><w:tcPr><w:tcW w:w="1921" w:type="dxa" /></w:tcPr><w:p w14:paraId="000010E4"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A</w:t></w:r></w:p></w:tc><w:tc><w:tcPr><w:tcW w:w="1795" w:type="dxa" /></w:tcPr><w:p w14:paraId="000010E5"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H3</w:t></w:r></w:p></w:tc><w:tc><w:tcPr><w:tcW w:w="1784" w:type="dxa" /></w:tcPr><w:p w14:paraId="000010E6"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Transfer pricing audit — Form 3CEB</w:t></w:r></w:p></w:tc><w:tc><w:tcPr><w:tcW w:w="1739" w:type="dxa" /></w:tcPr><w:p w14:paraId="000010E7"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Yearly</w:t></w:r></w:p></w:tc><w:tc><w:tcPr><w:tcW w:w="1777" w:type="dxa" /></w:tcPr><w:p w14:paraId="000010E8"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50,000</w:t></w:r></w:p></w:tc></w:tr><w:tr w:rsidR="002549F2" w14:paraId="000010E9" w14:textId="77777777"><w:trPr><w:trHeight w:val="300" /></w:trPr><w:tc><w:tcPr><w:tcW w:w="1921" w:type="dxa" /></w:tcPr><w:p w14:paraId="000010EA"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B</w:t></w:r></w:p></w:tc><w:tc><w:tcPr><w:tcW w:w="1795" w:type="dxa" /></w:tcPr><w:p w14:paraId="000010EB"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C1</w:t></w:r></w:p></w:tc><w:tc><w:tcPr><w:tcW w:w="1784" w:type="dxa" /></w:tcPr><w:p w14:paraId="000010EC"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TDS/TCS — monthly compliance</w:t></w:r></w:p></w:tc><w:tc><w:tcPr><w:tcW w:w="1739" w:type="dxa" /></w:tcPr><w:p w14:paraId="000010ED"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Monthly</w:t></w:r></w:p></w:tc><w:tc><w:tcPr><w:tcW w:w="1777" w:type="dxa" /></w:tcPr><w:p w14:paraId="000010EE"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8,000</w:t></w:r></w:p></w:tc></w:tr></w:tbl><w:p w14:paraId="0E151E4D" w14:textId="77777777" w:rsidR="002549F2" w:rsidRPr="00D216CD" w:rsidRDefault="002549F2"><w:pPr><w:spacing w:after="0" w:line="240" w:lineRule="auto" /><w:rPr><w:rFonts w:ascii="Times New Roman" w:eastAsia="Inter" w:hAnsi="Times New Roman" w:cs="Times New Roman" /><w:b /><w:color w:val="A31134" /><w:sz w:val="22" /><w:szCs w:val="22" /></w:rPr></w:pPr></w:p><w:p w14:paraId="3F8D28A2" w14:textId="6C95BD8D" w:rsidR="002549F2" w:rsidRPr="00D216CD" w:rsidRDefault="00620022" w:rsidP="00D216CD"><w:pPr><w:spacing w:after="0" w:line="240" w:lineRule="auto" /><w:rPr><w:rFonts w:ascii="Times New Roman" w:eastAsia="Inter" w:hAnsi="Times New Roman" w:cs="Times New Roman" /><w:b /><w:color w:val="A31134" /><w:sz w:val="22" /><w:szCs w:val="22" /></w:rPr></w:pPr><w:r w:rsidRPr="00D216CD"><w:rPr><w:rFonts w:ascii="Times New Roman" w:eastAsia="Inter" w:hAnsi="Times New Roman" w:cs="Times New Roman" /><w:b /><w:color w:val="A31134" /><w:sz w:val="22" /><w:szCs w:val="22" /></w:rPr><w:t>Notes</w:t></w:r></w:p><w:p w14:paraId="5C244E7C" w14:textId="77777777" w:rsidR="00D216CD" w:rsidRPr="00D216CD" w:rsidRDefault="00D216CD" w:rsidP="00D216CD"><w:pPr><w:spacing w:after="0" w:line="240" w:lineRule="auto" /><w:rPr><w:rFonts w:ascii="Times New Roman" w:eastAsia="Inter" w:hAnsi="Times New Roman" w:cs="Times New Roman" /><w:b /><w:color w:val="A31134" /><w:sz w:val="22" /><w:szCs w:val="22" /></w:rPr></w:pPr></w:p><w:p w14:paraId="1D80F88D" w14:textId="2F99B9E4" w:rsidR="00D216CD" w:rsidRPr="00D216CD" w:rsidRDefault="00D216CD" w:rsidP="0044502E"><w:pPr><w:spacing w:before="240" w:after="240" w:line="240" w:lineRule="auto" /><w:jc w:val="both" /><w:rPr><w:rFonts w:ascii="Times New Roman" w:eastAsia="Inter" w:hAnsi="Times New Roman" w:cs="Times New Roman" /><w:sz w:val="22" /><w:szCs w:val="22" /></w:rPr></w:pPr><w:r w:rsidRPr="00116440"><w:rPr><w:rFonts w:ascii="Times New Roman" w:eastAsia="Inter" w:hAnsi="Times New Roman" w:cs="Times New Roman" /><w:b /><w:color w:val="A31134"/><w:sz w:val="22" /><w:szCs w:val="22" /></w:rPr><w:t>Team Deployment</w:t></w:r><w:r w:rsidRPr="00D216CD"><w:rPr><w:rFonts w:ascii="Times New Roman" w:eastAsia="Inter" w:hAnsi="Times New Roman" w:cs="Times New Roman" /><w:b /><w:color w:val="000000" /><w:sz w:val="22" /><w:szCs w:val="22" /></w:rPr><w:t>:</w:t></w:r><w:r w:rsidRPr="00D216CD"><w:rPr><w:rFonts w:ascii="Times New Roman" w:eastAsia="Inter" w:hAnsi="Times New Roman" w:cs="Times New Roman" /><w:color w:val="000000" /><w:sz w:val="22" /><w:szCs w:val="22" /></w:rPr><w:t xml:space="preserve"> </w:t></w:r></w:p><w:p w14:paraId="53E8FE5E" w14:textId="0F414E5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Article: CA pursuing candidate who has cleared Intermediate Level</w:t></w:r></w:p><w:p w14:paraId="0AAC13B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Analyst: CA (Semi- Qualified) or Accountant with minimum 1 year experience, along with 3 years of articleship exposure</w:t></w:r></w:p><w:p w14:paraId="067C0F79"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Analyst: CA (Semi- Qualified) or Accountant with minimum 2 year experience, along with 3 years of articleship exposure</w:t></w:r></w:p><w:p w14:paraId="606A41D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[semi qualified or with minimum 2 years of accounting and finance experience for day-to-day accounting entries and co-ordination]- Qualified CA fresher (with 3 years articleship) or minimum 4 years experience as finance professional</w:t></w:r></w:p><w:p w14:paraId="676CA76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Associate / AM: Qualified CA with 3 years of relevant post qualification experience in accounting / tax / secretarial compliance]</w:t></w:r></w:p><w:p w14:paraId="4E5DF8A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Assistant Manager: Qualified CA with 4 years of relevant post qualification experience in accounting / tax / secretarial compliance]</w:t></w:r></w:p><w:p w14:paraId="0618CBEE"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Manager: Qualified CA with 5 years of relevant post qualification experience in accounting / tax / secretarial compliance]</w:t></w:r></w:p><w:p w14:paraId="005411DA"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Manager: Qualified CA with 6 years of relevant post qualification experience in accounting / tax / secretarial compliance]</w:t></w:r></w:p><w:p w14:paraId="343D880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Director / Partner [escalation, queries, review meetings, relationship manager]</w:t></w:r></w:p><w:p w14:paraId="255C9BF4" w14:textId="77777777" w:rsidR="002549F2" w:rsidRPr="00D216CD" w:rsidRDefault="002549F2"><w:pPr><w:spacing w:after="0" w:line="240" w:lineRule="auto" /><w:rPr><w:rFonts w:ascii="Times New Roman" w:eastAsia="Inter" w:hAnsi="Times New Roman" w:cs="Times New Roman" /><w:sz w:val="22" /><w:szCs w:val="22" /></w:rPr></w:pPr></w:p><w:p w14:paraId="6CD7B5F5" w14:textId="77777777" w:rsidR="002549F2" w:rsidRPr="00D216CD" w:rsidRDefault="00620022"><w:pPr><w:spacing w:after="0" w:line="240"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General scope exclusions</w:t></w:r><w:r w:rsidRPr="00D216CD"><w:rPr><w:rFonts w:ascii="Times New Roman" w:eastAsia="Inter" w:hAnsi="Times New Roman" w:cs="Times New Roman" /><w:sz w:val="22" /><w:szCs w:val="22" /></w:rPr><w:br /><w:t>The scope of work does not include following-</w:t></w:r></w:p><w:p w14:paraId="2A6C5B6F"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lastRenderedPageBreak /><w:t>Any certification unless otherwise included in the scope</w:t></w:r></w:p><w:p w14:paraId="19FC8CAA"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Drafting / review of legal agreements or customer contracts</w:t></w:r></w:p><w:p w14:paraId="08AD195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Assistance in due diligence in case of funding round</w:t></w:r></w:p><w:p w14:paraId="73B218A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Accounting or any other assistance in case of M&amp;A</w:t></w:r></w:p><w:p w14:paraId="1269077B"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Representation before the tax or other authorities unless otherwise agreed in the scope</w:t></w:r></w:p><w:p w14:paraId="6250A55D"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Anything specifically not mentioned in the scope shall be deemed excluded</w:t></w:r></w:p><w:p w14:paraId="4AE4DD04" w14:textId="77777777" w:rsidR="002549F2" w:rsidRPr="00D216CD" w:rsidRDefault="002549F2"><w:pPr><w:spacing w:after="0" w:line="276" w:lineRule="auto" /><w:rPr><w:rFonts w:ascii="Times New Roman" w:eastAsia="Inter" w:hAnsi="Times New Roman" w:cs="Times New Roman" /><w:sz w:val="22" /><w:szCs w:val="22" /></w:rPr></w:pPr></w:p><w:p w14:paraId="48FFC270" w14:textId="77777777" w:rsidR="002549F2" w:rsidRPr="00D216CD" w:rsidRDefault="00620022"><w:pPr><w:spacing w:after="0" w:line="276"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Commercials</w:t></w:r></w:p><w:p w14:paraId="000010EF"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All fees are exclusive of GST as applicable.</w:t></w:r></w:p><w:p w14:paraId="000010F0" w14:textId="77777777" w:rsidR="002549F2" w:rsidRDefault="002549F2"><w:pPr><w:spacing w:before="80" w:after="4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Government fee and out of pocket expenses shall be reimbursed on actual basis</w:t></w:r></w:p><w:sectPr w:rsidR="002549F2" w:rsidRPr="00D216CD"><w:headerReference w:type="default" r:id="rId9" /><w:footerReference w:type="first" r:id="rId10" /><w:pgSz w:w="11906" w:h="16838" /><w:pgMar w:top="0" w:right="1440" w:bottom="1440" w:left="1440" w:header="709" w:footer="709" w:gutter="0" /><w:pgNumType w:start="1" /><w:cols w:space="720" /><w:titlePg /></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