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w:p w14:paraId="00001054" w14:textId="77777777" w:rsidR="002549F2" w:rsidRDefault="002549F2"><w:pPr><w:spacing w:before="40" w:after="60" w:line="276" w:lineRule="auto" /><w:jc w:val="right"/><w:rPr><w:rFonts w:ascii="Inter" w:eastAsia="Inter" w:hAnsi="Inter" w:cs="Inter" /><w:sz w:val="22" /><w:szCs w:val="22" /></w:rPr></w:pPr><w:r><w:rPr><w:rFonts w:ascii="Inter" w:eastAsia="Inter" w:hAnsi="Inter" w:cs="Inter" /><w:sz w:val="22" /><w:szCs w:val="22" /></w:rPr><w:t xml:space="preserve">Date 2026-05-13</w:t></w:r></w:p><w:p w14:paraId="0000103F"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Nexus Fintech</w:t></w:r></w:p><w:p w14:paraId="00001040"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Nexus Fintech</w:t></w:r></w:p><w:p w14:paraId="00001041"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Sub: Engagement Letter for Nexus Fintech - Financial Year 26-27</w:t></w:r></w:p><w:p w14:paraId="00001042"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Hi Nexus,</w:t></w:r></w:p><w:p w14:paraId="00001043"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This Engagement Letter (“Agreement”) confirms that Nexus Fintech (referred to as ‘Nexus’),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w:r></w:p><w:p w14:paraId="00001044"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You may procure services under this Agreement for yourself and for those of your consolidated subsidiaries or affiliates that you bind to this Agreement by your signature, or which separately agree to the provisions of this engagement letter (collectively, the &quot;Subsidiaries&quot; or “Affiliates”).</w:t></w:r></w:p><w:p w14:paraId="00001045"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w:r></w:p><w:p w14:paraId="00001046"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Yours sincerely,</w:t></w:r></w:p><w:p w14:paraId="00001047"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______________________________________________</w:t></w:r></w:p><w:p w14:paraId="00001048"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Siddharth Kohli</w:t></w:r></w:p><w:p w14:paraId="00001049"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CEO / Founder</w:t></w:r></w:p><w:p w14:paraId="0000104A"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Email : </w:t></w:r><w:r><w:rPr><w:rFonts w:ascii="Inter" w:eastAsia="Inter" w:hAnsi="Inter" w:cs="Inter" /><w:color w:val="0563C1" /><w:u w:val="single" /><w:sz w:val="22" /><w:szCs w:val="22" /></w:rPr><w:t xml:space="preserve">siddharth@10xglobal.in</w:t></w:r></w:p><w:p w14:paraId="0000104B"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Phone : —</w:t></w:r></w:p><w:p w14:paraId="0000104C" w14:textId="77777777" w:rsidR="002549F2" w:rsidRDefault="002549F2"><w:pPr><w:spacing w:before="40" w:after="60" w:line="276" w:lineRule="auto" /><w:jc w:val="center"/><w:rPr><w:rFonts w:ascii="Inter" w:eastAsia="Inter" w:hAnsi="Inter" w:cs="Inter" /><w:sz w:val="22" /><w:szCs w:val="22" /></w:rPr></w:pPr><w:r><w:rPr><w:rFonts w:ascii="Inter" w:eastAsia="Inter" w:hAnsi="Inter" w:cs="Inter" /><w:b /><w:sz w:val="22" /><w:szCs w:val="22" /></w:rPr><w:t xml:space="preserve">Acceptance</w:t></w:r></w:p><w:p w14:paraId="0000104D"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The scope of the Services is sufficient for our purposes and the terms of this engagement are accepted on behalf of Nexus</w:t></w:r></w:p><w:p w14:paraId="0000104E"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________________________________________________________________________________________</w:t></w:r></w:p><w:p w14:paraId="0000104F" w14:textId="77777777" w:rsidR="002549F2" w:rsidRDefault="002549F2"><w:pPr><w:spacing w:before="40" w:after="60" w:line="276" w:lineRule="auto" /><w:jc w:val="center"/><w:rPr><w:rFonts w:ascii="Inter" w:eastAsia="Inter" w:hAnsi="Inter" w:cs="Inter" /><w:sz w:val="22" /><w:szCs w:val="22" /></w:rPr></w:pPr><w:r><w:rPr><w:rFonts w:ascii="Inter" w:eastAsia="Inter" w:hAnsi="Inter" w:cs="Inter" /><w:b /><w:sz w:val="22" /><w:szCs w:val="22" /></w:rPr><w:t xml:space="preserve">Authorized signatory</w:t></w:r></w:p><w:p w14:paraId="00001050" w14:textId="77777777" w:rsidR="002549F2" w:rsidRDefault="002549F2"><w:pPr><w:spacing w:before="40" w:after="60" w:line="276" w:lineRule="auto" /><w:jc w:val="center"/><w:rPr><w:rFonts w:ascii="Inter" w:eastAsia="Inter" w:hAnsi="Inter" w:cs="Inter" /><w:sz w:val="22" /><w:szCs w:val="22" /></w:rPr></w:pPr><w:r><w:rPr><w:rFonts w:ascii="Inter" w:eastAsia="Inter" w:hAnsi="Inter" w:cs="Inter" /><w:b /><w:sz w:val="22" /><w:szCs w:val="22" /></w:rPr><w:t xml:space="preserve">10X Global Pvt Ltd</w:t></w:r></w:p><w:p w14:paraId="00001051" w14:textId="77777777" w:rsidR="002549F2" w:rsidRDefault="002549F2"><w:pPr><w:spacing w:before="40" w:after="60" w:line="276" w:lineRule="auto" /><w:jc w:val="center"/><w:rPr><w:rFonts w:ascii="Inter" w:eastAsia="Inter" w:hAnsi="Inter" w:cs="Inter" /><w:sz w:val="22" /><w:szCs w:val="22" /></w:rPr></w:pPr><w:r><w:rPr><w:rFonts w:ascii="Inter" w:eastAsia="Inter" w:hAnsi="Inter" w:cs="Inter" /><w:color w:val="666666" /><w:sz w:val="20" /><w:szCs w:val="20" /></w:rPr><w:t xml:space="preserve">2/6, 2nd floor, West Patel Nagar, New Delhi 110008 India</w:t></w:r></w:p><w:p w14:paraId="00001052" w14:textId="77777777" w:rsidR="002549F2" w:rsidRDefault="002549F2"><w:pPr><w:spacing w:before="40" w:after="60" w:line="276" w:lineRule="auto" /><w:jc w:val="center"/><w:rPr><w:rFonts w:ascii="Inter" w:eastAsia="Inter" w:hAnsi="Inter" w:cs="Inter" /><w:sz w:val="22" /><w:szCs w:val="22" /></w:rPr></w:pPr><w:r><w:rPr><w:rFonts w:ascii="Inter" w:eastAsia="Inter" w:hAnsi="Inter" w:cs="Inter" /><w:color w:val="666666" /><w:sz w:val="20" /><w:szCs w:val="20" /></w:rPr><w:t xml:space="preserve">www.10x.global | info@10x.global</w:t></w:r></w:p><w:p w14:paraId="00001053"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br w:type="page"/></w:r></w:p><w:p w14:paraId="00001055" w14:textId="77777777" w:rsidR="002549F2" w:rsidRDefault="002549F2"><w:pPr><w:spacing w:before="140" w:after="120" w:line="260" w:lineRule="auto" /><w:rPr><w:rFonts w:ascii="Times New Roman" w:eastAsia="Inter" w:hAnsi="Times New Roman" w:cs="Times New Roman" /><w:b /><w:color w:val="A31134" /><w:sz w:val="22" /><w:szCs w:val="22" /></w:rPr></w:pPr><w:r><w:rPr><w:rFonts w:ascii="Times New Roman" w:eastAsia="Inter" w:hAnsi="Times New Roman" w:cs="Times New Roman" /><w:b /><w:color w:val="A31134" /><w:sz w:val="22" /><w:szCs w:val="22" /></w:rPr><w:t>BACKGROUND</w:t></w:r></w:p><w:p w14:paraId="00001056" w14:textId="77777777" w:rsidR="002549F2" w:rsidRDefault="002549F2"><w:pPr><w:spacing w:before="40" w:after="40" w:line="220" w:lineRule="auto" /></w:pPr><w:r><w:rPr><w:rFonts w:ascii="Times New Roman" w:eastAsia="Inter" w:hAnsi="Times New Roman" w:cs="Times New Roman" /><w:sz w:val="22" /><w:szCs w:val="22" /></w:rPr><w:t xml:space="preserve"> </w:t></w:r></w:p><w:p w14:paraId="00001057"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sz w:val="22" /><w:szCs w:val="22" /></w:rPr><w:t xml:space="preserve">Nexus Fintech is a leading company that provides quality services and solutions to its clients.</w:t></w:r></w:p><w:p w14:paraId="00001058" w14:textId="77777777" w:rsidR="002549F2" w:rsidRDefault="002549F2"><w:pPr><w:spacing w:before="40" w:after="40" w:line="220" w:lineRule="auto" /></w:pPr><w:r><w:rPr><w:rFonts w:ascii="Times New Roman" w:eastAsia="Inter" w:hAnsi="Times New Roman" w:cs="Times New Roman" /><w:sz w:val="22" /><w:szCs w:val="22" /></w:rPr><w:t xml:space="preserve"> </w:t></w:r></w:p><w:p w14:paraId="00001059" w14:textId="77777777" w:rsidR="002549F2" w:rsidRDefault="002549F2"><w:pPr><w:spacing w:before="140" w:after="120" w:line="260" w:lineRule="auto" /><w:rPr><w:rFonts w:ascii="Times New Roman" w:eastAsia="Inter" w:hAnsi="Times New Roman" w:cs="Times New Roman" /><w:b /><w:color w:val="A31134" /><w:sz w:val="22" /><w:szCs w:val="22" /></w:rPr></w:pPr><w:r><w:rPr><w:rFonts w:ascii="Times New Roman" w:eastAsia="Inter" w:hAnsi="Times New Roman" w:cs="Times New Roman" /><w:b /><w:color w:val="A31134" /><w:sz w:val="22" /><w:szCs w:val="22" /></w:rPr><w:t>In-scope processes / services</w:t></w:r></w:p><w:p w14:paraId="0000105A" w14:textId="77777777" w:rsidR="002549F2" w:rsidRDefault="002549F2"><w:pPr><w:spacing w:before="40" w:after="40" w:line="220" w:lineRule="auto" /></w:pPr><w:r><w:rPr><w:rFonts w:ascii="Times New Roman" w:eastAsia="Inter" w:hAnsi="Times New Roman" w:cs="Times New Roman" /><w:sz w:val="22" /><w:szCs w:val="22" /></w:rPr><w:t xml:space="preserve"> </w:t></w:r></w:p><w:p w14:paraId="0000105B"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sz w:val="22" /><w:szCs w:val="22" /></w:rPr><w:t xml:space="preserve">A. Income tax — annual ITR filing &amp; TDS certificates</w:t></w:r></w:p><w:p w14:paraId="0000105C"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sz w:val="22" /><w:szCs w:val="22" /></w:rPr><w:t xml:space="preserve">B. Secretarial — annual ROC compliance</w:t></w:r></w:p><w:p w14:paraId="0000105D" w14:textId="77777777" w:rsidR="002549F2" w:rsidRDefault="002549F2"><w:pPr><w:spacing w:before="40" w:after="40" w:line="220" w:lineRule="auto" /></w:pPr><w:r><w:rPr><w:rFonts w:ascii="Times New Roman" w:eastAsia="Inter" w:hAnsi="Times New Roman" w:cs="Times New Roman" /><w:sz w:val="22" /><w:szCs w:val="22" /></w:rPr><w:t xml:space="preserve"> </w:t></w:r></w:p><w:p w14:paraId="0000105E" w14:textId="77777777" w:rsidR="002549F2" w:rsidRDefault="002549F2"><w:pPr><w:spacing w:before="140" w:after="120" w:line="260" w:lineRule="auto" /><w:rPr><w:rFonts w:ascii="Times New Roman" w:eastAsia="Inter" w:hAnsi="Times New Roman" w:cs="Times New Roman" /><w:b /><w:color w:val="A31134" /><w:sz w:val="22" /><w:szCs w:val="22" /></w:rPr></w:pPr><w:r><w:rPr><w:rFonts w:ascii="Times New Roman" w:eastAsia="Inter" w:hAnsi="Times New Roman" w:cs="Times New Roman" /><w:b /><w:color w:val="A31134" /><w:sz w:val="22" /><w:szCs w:val="22" /></w:rPr><w:t>A. Transactions &amp; Regulatory Compliance</w:t></w:r></w:p><w:p w14:paraId="0000105F" w14:textId="77777777" w:rsidR="002549F2" w:rsidRDefault="002549F2"><w:pPr><w:spacing w:before="40" w:after="40" w:line="220" w:lineRule="auto" /></w:pPr><w:r><w:rPr><w:rFonts w:ascii="Times New Roman" w:eastAsia="Inter" w:hAnsi="Times New Roman" w:cs="Times New Roman" /><w:sz w:val="22" /><w:szCs w:val="22" /></w:rPr><w:t xml:space="preserve"> </w:t></w:r></w:p><w:p w14:paraId="00001060"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b /><w:color w:val="000000" w:themeColor="text1" /><w:sz w:val="22" /><w:szCs w:val="22" /></w:rPr><w:t>10x&apos;s Responsibilities:</w:t></w:r></w:p><w:p w14:paraId="00001061"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b /><w:color w:val="000000" w:themeColor="text1" /><w:sz w:val="22" /><w:szCs w:val="22" /></w:rPr><w:t>C3. Income tax — annual ITR filing &amp; TDS certificates</w:t></w:r></w:p><w:p w14:paraId="00001062"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b /><w:color w:val="000000" w:themeColor="text1" /><w:sz w:val="22" /><w:szCs w:val="22" /></w:rPr><w:t>Fees</w:t></w:r><w:r><w:rPr><w:rFonts w:ascii="Times New Roman" w:eastAsia="Inter" w:hAnsi="Times New Roman" w:cs="Times New Roman" /><w:sz w:val="22" /><w:szCs w:val="22" /></w:rPr><w:t xml:space="preserve"> C3: INR 50,000 Yearly</w:t></w:r></w:p><w:p w14:paraId="00001063" w14:textId="77777777" w:rsidR="002549F2" w:rsidRDefault="002549F2"><w:pPr><w:spacing w:before="40" w:after="40" w:line="220" w:lineRule="auto" /></w:pPr><w:r><w:rPr><w:rFonts w:ascii="Times New Roman" w:eastAsia="Inter" w:hAnsi="Times New Roman" w:cs="Times New Roman" /><w:sz w:val="22" /><w:szCs w:val="22" /></w:rPr><w:t xml:space="preserve"> </w:t></w:r></w:p><w:p w14:paraId="00001064"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b /><w:color w:val="000000" w:themeColor="text1" /><w:sz w:val="22" /><w:szCs w:val="22" /></w:rPr><w:t>I2. Secretarial — annual ROC compliance</w:t></w:r></w:p><w:p w14:paraId="00001065"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b /><w:color w:val="000000" w:themeColor="text1" /><w:sz w:val="22" /><w:szCs w:val="22" /></w:rPr><w:t>Fees</w:t></w:r><w:r><w:rPr><w:rFonts w:ascii="Times New Roman" w:eastAsia="Inter" w:hAnsi="Times New Roman" w:cs="Times New Roman" /><w:sz w:val="22" /><w:szCs w:val="22" /></w:rPr><w:t xml:space="preserve"> I2: INR 75,000 Yearly</w:t></w:r></w:p><w:p w14:paraId="00001066" w14:textId="77777777" w:rsidR="002549F2" w:rsidRDefault="002549F2"><w:pPr><w:spacing w:before="40" w:after="40" w:line="220" w:lineRule="auto" /></w:pPr><w:r><w:rPr><w:rFonts w:ascii="Times New Roman" w:eastAsia="Inter" w:hAnsi="Times New Roman" w:cs="Times New Roman" /><w:sz w:val="22" /><w:szCs w:val="22" /></w:rPr><w:t xml:space="preserve"> </w:t></w:r></w:p><w:p w14:paraId="00001067" w14:textId="77777777" w:rsidR="002549F2" w:rsidRDefault="002549F2"><w:pPr><w:spacing w:before="140" w:after="120" w:line="260" w:lineRule="auto" /><w:rPr><w:rFonts w:ascii="Times New Roman" w:eastAsia="Inter" w:hAnsi="Times New Roman" w:cs="Times New Roman" /><w:b /><w:color w:val="A31134" /><w:sz w:val="22" /><w:szCs w:val="22" /></w:rPr></w:pPr><w:r><w:rPr><w:rFonts w:ascii="Times New Roman" w:eastAsia="Inter" w:hAnsi="Times New Roman" w:cs="Times New Roman" /><w:b /><w:color w:val="A31134" /><w:sz w:val="22" /><w:szCs w:val="22" /></w:rPr><w:t>Summary of Fees</w:t></w:r></w:p><w:p w14:paraId="00001068" w14:textId="77777777" w:rsidR="002549F2" w:rsidRDefault="002549F2"><w:pPr><w:spacing w:before="40" w:after="40" w:line="220" w:lineRule="auto" /></w:pPr><w:r><w:rPr><w:rFonts w:ascii="Times New Roman" w:eastAsia="Inter" w:hAnsi="Times New Roman" w:cs="Times New Roman" /><w:sz w:val="22" /><w:szCs w:val="22" /></w:rPr><w:t xml:space="preserve"> </w:t></w:r></w:p><w:tbl><w:tblPr><w:tblStyle w:val="af1" /><w:tblW w:w="9016" w:type="dxa" /><w:tblBorders><w:top w:val="single" w:sz="4" w:space="0" w:color="000000" /><w:left w:val="single" w:sz="4" w:space="0" w:color="000000" /><w:bottom w:val="single" w:sz="4" w:space="0" w:color="000000" /><w:right w:val="single" w:sz="4" w:space="0" w:color="000000" /><w:insideH w:val="single" w:sz="4" w:space="0" w:color="000000" /><w:insideV w:val="single" w:sz="4" w:space="0" w:color="000000" /></w:tblBorders><w:tblLayout w:type="fixed" /><w:tblLook w:val="0400" w:firstRow="0" w:lastRow="0" w:firstColumn="0" w:lastColumn="0" w:noHBand="0" w:noVBand="1" /></w:tblPr><w:tblGrid><w:gridCol w:w="1921" /><w:gridCol w:w="1795" /><w:gridCol w:w="1784" /><w:gridCol w:w="1739" /><w:gridCol w:w="1777" /></w:tblGrid><w:tr w:rsidR="002549F2" w14:paraId="00001069" w14:textId="77777777"><w:trPr><w:cantSplit /><w:trHeight w:val="299" /></w:trPr><w:tc><w:tcPr><w:tcW w:w="1921" w:type="dxa" /></w:tcPr><w:p w14:paraId="0000106A" w14:textId="77777777" w:rsidR="002549F2" w:rsidRDefault="00D216CD"><w:pPr><w:rPr><w:rFonts w:ascii="Times New Roman" w:eastAsia="Inter" w:hAnsi="Times New Roman" w:cs="Times New Roman" /><w:i /><w:sz w:val="22" /><w:szCs w:val="22" /></w:rPr></w:pPr><w:r><w:rPr><w:rFonts w:ascii="Times New Roman" w:eastAsia="Inter" w:hAnsi="Times New Roman" w:cs="Times New Roman" /><w:i /><w:sz w:val="22" /><w:szCs w:val="22" /></w:rPr><w:t>Section</w:t></w:r></w:p></w:tc><w:tc><w:tcPr><w:tcW w:w="1795" w:type="dxa" /></w:tcPr><w:p w14:paraId="0000106B" w14:textId="77777777" w:rsidR="002549F2" w:rsidRDefault="00D216CD"><w:pPr><w:rPr><w:rFonts w:ascii="Times New Roman" w:eastAsia="Inter" w:hAnsi="Times New Roman" w:cs="Times New Roman" /><w:i /><w:sz w:val="22" /><w:szCs w:val="22" /></w:rPr></w:pPr><w:r><w:rPr><w:rFonts w:ascii="Times New Roman" w:eastAsia="Inter" w:hAnsi="Times New Roman" w:cs="Times New Roman" /><w:i /><w:sz w:val="22" /><w:szCs w:val="22" /></w:rPr><w:t>Sub Section</w:t></w:r></w:p></w:tc><w:tc><w:tcPr><w:tcW w:w="1784" w:type="dxa" /></w:tcPr><w:p w14:paraId="0000106C" w14:textId="77777777" w:rsidR="002549F2" w:rsidRDefault="00D216CD"><w:pPr><w:rPr><w:rFonts w:ascii="Times New Roman" w:eastAsia="Inter" w:hAnsi="Times New Roman" w:cs="Times New Roman" /><w:i /><w:sz w:val="22" /><w:szCs w:val="22" /></w:rPr></w:pPr><w:r><w:rPr><w:rFonts w:ascii="Times New Roman" w:eastAsia="Inter" w:hAnsi="Times New Roman" w:cs="Times New Roman" /><w:i /><w:sz w:val="22" /><w:szCs w:val="22" /></w:rPr><w:t>Description</w:t></w:r></w:p></w:tc><w:tc><w:tcPr><w:tcW w:w="1739" w:type="dxa" /></w:tcPr><w:p w14:paraId="0000106D" w14:textId="77777777" w:rsidR="002549F2" w:rsidRDefault="00D216CD"><w:pPr><w:rPr><w:rFonts w:ascii="Times New Roman" w:eastAsia="Inter" w:hAnsi="Times New Roman" w:cs="Times New Roman" /><w:i /><w:sz w:val="22" /><w:szCs w:val="22" /></w:rPr></w:pPr><w:r><w:rPr><w:rFonts w:ascii="Times New Roman" w:eastAsia="Inter" w:hAnsi="Times New Roman" w:cs="Times New Roman" /><w:i /><w:sz w:val="22" /><w:szCs w:val="22" /></w:rPr><w:t>Frequency</w:t></w:r></w:p></w:tc><w:tc><w:tcPr><w:tcW w:w="1777" w:type="dxa" /></w:tcPr><w:p w14:paraId="0000106E" w14:textId="77777777" w:rsidR="002549F2" w:rsidRDefault="00D216CD"><w:pPr><w:rPr><w:rFonts w:ascii="Times New Roman" w:eastAsia="Inter" w:hAnsi="Times New Roman" w:cs="Times New Roman" /><w:i /><w:sz w:val="22" /><w:szCs w:val="22" /></w:rPr></w:pPr><w:r><w:rPr><w:rFonts w:ascii="Times New Roman" w:eastAsia="Inter" w:hAnsi="Times New Roman" w:cs="Times New Roman" /><w:i /><w:sz w:val="22" /><w:szCs w:val="22" /></w:rPr><w:t>Fees AED / INR / SGD / USD</w:t></w:r></w:p></w:tc></w:tr><w:tr w:rsidR="002549F2" w14:paraId="0000106F" w14:textId="77777777"><w:trPr><w:trHeight w:val="300" /></w:trPr><w:tc><w:tcPr><w:tcW w:w="1921" w:type="dxa" /></w:tcPr><w:p w14:paraId="00001070"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A</w:t></w:r></w:p></w:tc><w:tc><w:tcPr><w:tcW w:w="1795" w:type="dxa" /></w:tcPr><w:p w14:paraId="00001071"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C3</w:t></w:r></w:p></w:tc><w:tc><w:tcPr><w:tcW w:w="1784" w:type="dxa" /></w:tcPr><w:p w14:paraId="00001072"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Income tax — annual ITR filing &amp; TDS certificates</w:t></w:r></w:p></w:tc><w:tc><w:tcPr><w:tcW w:w="1739" w:type="dxa" /></w:tcPr><w:p w14:paraId="00001073"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Yearly</w:t></w:r></w:p></w:tc><w:tc><w:tcPr><w:tcW w:w="1777" w:type="dxa" /></w:tcPr><w:p w14:paraId="00001074"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INR 50,000</w:t></w:r></w:p></w:tc></w:tr><w:tr w:rsidR="002549F2" w14:paraId="00001075" w14:textId="77777777"><w:trPr><w:trHeight w:val="300" /></w:trPr><w:tc><w:tcPr><w:tcW w:w="1921" w:type="dxa" /></w:tcPr><w:p w14:paraId="00001076"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A</w:t></w:r></w:p></w:tc><w:tc><w:tcPr><w:tcW w:w="1795" w:type="dxa" /></w:tcPr><w:p w14:paraId="00001077"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I2</w:t></w:r></w:p></w:tc><w:tc><w:tcPr><w:tcW w:w="1784" w:type="dxa" /></w:tcPr><w:p w14:paraId="00001078"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Secretarial — annual ROC compliance</w:t></w:r></w:p></w:tc><w:tc><w:tcPr><w:tcW w:w="1739" w:type="dxa" /></w:tcPr><w:p w14:paraId="00001079"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Yearly</w:t></w:r></w:p></w:tc><w:tc><w:tcPr><w:tcW w:w="1777" w:type="dxa" /></w:tcPr><w:p w14:paraId="0000107A"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INR 75,000</w:t></w:r></w:p></w:tc></w:tr></w:tbl><w:p w14:paraId="0E151E4D" w14:textId="77777777" w:rsidR="002549F2" w:rsidRPr="00D216CD" w:rsidRDefault="002549F2"><w:pPr><w:spacing w:after="0" w:line="240" w:lineRule="auto" /><w:rPr><w:rFonts w:ascii="Times New Roman" w:eastAsia="Inter" w:hAnsi="Times New Roman" w:cs="Times New Roman" /><w:b /><w:color w:val="A31134" /><w:sz w:val="22" /><w:szCs w:val="22" /></w:rPr></w:pPr></w:p><w:p w14:paraId="3F8D28A2" w14:textId="6C95BD8D" w:rsidR="002549F2" w:rsidRPr="00D216CD" w:rsidRDefault="00620022" w:rsidP="00D216CD"><w:pPr><w:spacing w:after="0" w:line="240" w:lineRule="auto" /><w:rPr><w:rFonts w:ascii="Times New Roman" w:eastAsia="Inter" w:hAnsi="Times New Roman" w:cs="Times New Roman" /><w:b /><w:color w:val="A31134" /><w:sz w:val="22" /><w:szCs w:val="22" /></w:rPr></w:pPr><w:r w:rsidRPr="00D216CD"><w:rPr><w:rFonts w:ascii="Times New Roman" w:eastAsia="Inter" w:hAnsi="Times New Roman" w:cs="Times New Roman" /><w:b /><w:color w:val="A31134" /><w:sz w:val="22" /><w:szCs w:val="22" /></w:rPr><w:t>Notes</w:t></w:r></w:p><w:p w14:paraId="5C244E7C" w14:textId="77777777" w:rsidR="00D216CD" w:rsidRPr="00D216CD" w:rsidRDefault="00D216CD" w:rsidP="00D216CD"><w:pPr><w:spacing w:after="0" w:line="240" w:lineRule="auto" /><w:rPr><w:rFonts w:ascii="Times New Roman" w:eastAsia="Inter" w:hAnsi="Times New Roman" w:cs="Times New Roman" /><w:b /><w:color w:val="A31134" /><w:sz w:val="22" /><w:szCs w:val="22" /></w:rPr></w:pPr></w:p><w:p w14:paraId="1D80F88D" w14:textId="2F99B9E4" w:rsidR="00D216CD" w:rsidRPr="00D216CD" w:rsidRDefault="00D216CD" w:rsidP="0044502E"><w:pPr><w:spacing w:before="240" w:after="240" w:line="240" w:lineRule="auto" /><w:jc w:val="both" /><w:rPr><w:rFonts w:ascii="Times New Roman" w:eastAsia="Inter" w:hAnsi="Times New Roman" w:cs="Times New Roman" /><w:sz w:val="22" /><w:szCs w:val="22" /></w:rPr></w:pPr><w:r w:rsidRPr="00116440"><w:rPr><w:rFonts w:ascii="Times New Roman" w:eastAsia="Inter" w:hAnsi="Times New Roman" w:cs="Times New Roman" /><w:b /><w:color w:val="A31134"/><w:sz w:val="22" /><w:szCs w:val="22" /></w:rPr><w:t>Team Deployment</w:t></w:r><w:r w:rsidRPr="00D216CD"><w:rPr><w:rFonts w:ascii="Times New Roman" w:eastAsia="Inter" w:hAnsi="Times New Roman" w:cs="Times New Roman" /><w:b /><w:color w:val="000000" /><w:sz w:val="22" /><w:szCs w:val="22" /></w:rPr><w:t>:</w:t></w:r><w:r w:rsidRPr="00D216CD"><w:rPr><w:rFonts w:ascii="Times New Roman" w:eastAsia="Inter" w:hAnsi="Times New Roman" w:cs="Times New Roman" /><w:color w:val="000000" /><w:sz w:val="22" /><w:szCs w:val="22" /></w:rPr><w:t xml:space="preserve"> </w:t></w:r></w:p><w:p w14:paraId="53E8FE5E" w14:textId="0F414E5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Article: CA pursuing candidate who has cleared Intermediate Level</w:t></w:r></w:p><w:p w14:paraId="0AAC13B0"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Analyst: CA (Semi- Qualified) or Accountant with minimum 1 year experience, along with 3 years of articleship exposure</w:t></w:r></w:p><w:p w14:paraId="067C0F79"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Senior Analyst: CA (Semi- Qualified) or Accountant with minimum 2 year experience, along with 3 years of articleship exposure</w:t></w:r></w:p><w:p w14:paraId="606A41D6"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Associate [semi qualified or with minimum 2 years of accounting and finance experience for day-to-day accounting entries and co-ordination]- Qualified CA fresher (with 3 years articleship) or minimum 4 years experience as finance professional</w:t></w:r></w:p><w:p w14:paraId="676CA760"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Senior Associate / AM: Qualified CA with 3 years of relevant post qualification experience in accounting / tax / secretarial compliance]</w:t></w:r></w:p><w:p w14:paraId="4E5DF8A6"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Assistant Manager: Qualified CA with 4 years of relevant post qualification experience in accounting / tax / secretarial compliance]</w:t></w:r></w:p><w:p w14:paraId="0618CBEE"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Manager: Qualified CA with 5 years of relevant post qualification experience in accounting / tax / secretarial compliance]</w:t></w:r></w:p><w:p w14:paraId="005411DA"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Senior Manager: Qualified CA with 6 years of relevant post qualification experience in accounting / tax / secretarial compliance]</w:t></w:r></w:p><w:p w14:paraId="343D8800"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Associate Director / Partner [escalation, queries, review meetings, relationship manager]</w:t></w:r></w:p><w:p w14:paraId="255C9BF4" w14:textId="77777777" w:rsidR="002549F2" w:rsidRPr="00D216CD" w:rsidRDefault="002549F2"><w:pPr><w:spacing w:after="0" w:line="240" w:lineRule="auto" /><w:rPr><w:rFonts w:ascii="Times New Roman" w:eastAsia="Inter" w:hAnsi="Times New Roman" w:cs="Times New Roman" /><w:sz w:val="22" /><w:szCs w:val="22" /></w:rPr></w:pPr></w:p><w:p w14:paraId="6CD7B5F5" w14:textId="77777777" w:rsidR="002549F2" w:rsidRPr="00D216CD" w:rsidRDefault="00620022"><w:pPr><w:spacing w:after="0" w:line="240" w:lineRule="auto" /><w:rPr><w:rFonts w:ascii="Times New Roman" w:eastAsia="Inter" w:hAnsi="Times New Roman" w:cs="Times New Roman" /><w:sz w:val="22" /><w:szCs w:val="22" /></w:rPr></w:pPr><w:r w:rsidRPr="00D216CD"><w:rPr><w:rFonts w:ascii="Times New Roman" w:eastAsia="Inter" w:hAnsi="Times New Roman" w:cs="Times New Roman" /><w:b /><w:color w:val="A31134"/><w:sz w:val="22" /><w:szCs w:val="22" /></w:rPr><w:t>General scope exclusions</w:t></w:r><w:r w:rsidRPr="00D216CD"><w:rPr><w:rFonts w:ascii="Times New Roman" w:eastAsia="Inter" w:hAnsi="Times New Roman" w:cs="Times New Roman" /><w:sz w:val="22" /><w:szCs w:val="22" /></w:rPr><w:br /><w:t>The scope of work does not include following-</w:t></w:r></w:p><w:p w14:paraId="2A6C5B6F" w14:textId="77777777" w:rsidR="002549F2" w:rsidRPr="00D216CD" w:rsidRDefault="00620022"><w:pPr><w:numPr><w:ilvl w:val="0" /><w:numId w:val="1" /></w:numPr><w:pBdr><w:top w:val="nil" /><w:left w:val="nil" /><w:bottom w:val="nil" /><w:right w:val="nil" /><w:between w:val="nil" /></w:pBdr><w:spacing w:after="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lastRenderedPageBreak /><w:t>Any certification unless otherwise included in the scope</w:t></w:r></w:p><w:p w14:paraId="19FC8CAA" w14:textId="77777777" w:rsidR="002549F2" w:rsidRPr="00D216CD" w:rsidRDefault="00620022"><w:pPr><w:numPr><w:ilvl w:val="0" /><w:numId w:val="1" /></w:numPr><w:pBdr><w:top w:val="nil" /><w:left w:val="nil" /><w:bottom w:val="nil" /><w:right w:val="nil" /><w:between w:val="nil" /></w:pBdr><w:spacing w:after="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Drafting / review of legal agreements or customer contracts</w:t></w:r></w:p><w:p w14:paraId="08AD1959" w14:textId="77777777" w:rsidR="002549F2" w:rsidRPr="00D216CD" w:rsidRDefault="00620022"><w:pPr><w:numPr><w:ilvl w:val="0" /><w:numId w:val="1" /></w:numPr><w:pBdr><w:top w:val="nil" /><w:left w:val="nil" /><w:bottom w:val="nil" /><w:right w:val="nil" /><w:between w:val="nil" /></w:pBdr><w:spacing w:after="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Assistance in due diligence in case of funding round</w:t></w:r></w:p><w:p w14:paraId="73B218A9" w14:textId="77777777" w:rsidR="002549F2" w:rsidRPr="00D216CD" w:rsidRDefault="00620022"><w:pPr><w:numPr><w:ilvl w:val="0" /><w:numId w:val="1" /></w:numPr><w:pBdr><w:top w:val="nil" /><w:left w:val="nil" /><w:bottom w:val="nil" /><w:right w:val="nil" /><w:between w:val="nil" /></w:pBdr><w:spacing w:after="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Accounting or any other assistance in case of M&amp;A</w:t></w:r></w:p><w:p w14:paraId="1269077B" w14:textId="77777777" w:rsidR="002549F2" w:rsidRPr="00D216CD" w:rsidRDefault="00620022"><w:pPr><w:numPr><w:ilvl w:val="0" /><w:numId w:val="1" /></w:numPr><w:pBdr><w:top w:val="nil" /><w:left w:val="nil" /><w:bottom w:val="nil" /><w:right w:val="nil" /><w:between w:val="nil" /></w:pBdr><w:spacing w:after="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Representation before the tax or other authorities unless otherwise agreed in the scope</w:t></w:r></w:p><w:p w14:paraId="6250A55D" w14:textId="77777777" w:rsidR="002549F2" w:rsidRPr="00D216CD" w:rsidRDefault="00620022"><w:pPr><w:numPr><w:ilvl w:val="0" /><w:numId w:val="1" /></w:numPr><w:pBdr><w:top w:val="nil" /><w:left w:val="nil" /><w:bottom w:val="nil" /><w:right w:val="nil" /><w:between w:val="nil" /></w:pBdr><w:spacing w:after="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Anything specifically not mentioned in the scope shall be deemed excluded</w:t></w:r></w:p><w:p w14:paraId="4AE4DD04" w14:textId="77777777" w:rsidR="002549F2" w:rsidRPr="00D216CD" w:rsidRDefault="002549F2"><w:pPr><w:spacing w:after="0" w:line="276" w:lineRule="auto" /><w:rPr><w:rFonts w:ascii="Times New Roman" w:eastAsia="Inter" w:hAnsi="Times New Roman" w:cs="Times New Roman" /><w:sz w:val="22" /><w:szCs w:val="22" /></w:rPr></w:pPr></w:p><w:p w14:paraId="48FFC270" w14:textId="77777777" w:rsidR="002549F2" w:rsidRPr="00D216CD" w:rsidRDefault="00620022"><w:pPr><w:spacing w:after="0" w:line="276" w:lineRule="auto" /><w:rPr><w:rFonts w:ascii="Times New Roman" w:eastAsia="Inter" w:hAnsi="Times New Roman" w:cs="Times New Roman" /><w:sz w:val="22" /><w:szCs w:val="22" /></w:rPr></w:pPr><w:r w:rsidRPr="00D216CD"><w:rPr><w:rFonts w:ascii="Times New Roman" w:eastAsia="Inter" w:hAnsi="Times New Roman" w:cs="Times New Roman" /><w:b /><w:color w:val="A31134"/><w:sz w:val="22" /><w:szCs w:val="22" /></w:rPr><w:t>Commercials</w:t></w:r></w:p><w:p w14:paraId="0000107B"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sz w:val="22" /><w:szCs w:val="22" /></w:rPr><w:t xml:space="preserve">• All fees are exclusive of GST as applicable.</w:t></w:r></w:p><w:p w14:paraId="0000107C" w14:textId="77777777" w:rsidR="002549F2" w:rsidRDefault="002549F2"><w:pPr><w:spacing w:before="80" w:after="40" w:line="260" w:lineRule="auto" /><w:rPr><w:rFonts w:ascii="Times New Roman" w:eastAsia="Inter" w:hAnsi="Times New Roman" w:cs="Times New Roman" /><w:sz w:val="22" /><w:szCs w:val="22" /></w:rPr></w:pPr><w:r><w:rPr><w:rFonts w:ascii="Times New Roman" w:eastAsia="Inter" w:hAnsi="Times New Roman" w:cs="Times New Roman" /><w:sz w:val="22" /><w:szCs w:val="22" /></w:rPr><w:t xml:space="preserve">• Government fee and out of pocket expenses shall be reimbursed on actual basis</w:t></w:r></w:p><w:sectPr w:rsidR="002549F2" w:rsidRPr="00D216CD"><w:headerReference w:type="default" r:id="rId9" /><w:footerReference w:type="first" r:id="rId10" /><w:pgSz w:w="11906" w:h="16838" /><w:pgMar w:top="0" w:right="1440" w:bottom="1440" w:left="1440" w:header="709" w:footer="709" w:gutter="0" /><w:pgNumType w:start="1" /><w:cols w:space="720" /><w:titlePg /></w:sectPr></w:body></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07CA6" w14:textId="77777777" w:rsidR="00F239D8" w:rsidRDefault="00F239D8">
      <w:pPr>
        <w:spacing w:after="0" w:line="240" w:lineRule="auto"/>
      </w:pPr>
      <w:r>
        <w:separator/>
      </w:r>
    </w:p>
  </w:endnote>
  <w:endnote w:type="continuationSeparator" w:id="0">
    <w:p w14:paraId="723AA653" w14:textId="77777777" w:rsidR="00F239D8" w:rsidRDefault="00F23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panose1 w:val="020B0502040504020204"/>
    <w:charset w:val="00"/>
    <w:family w:val="swiss"/>
    <w:pitch w:val="variable"/>
    <w:sig w:usb0="00000003" w:usb1="0200E0A0" w:usb2="00000000" w:usb3="00000000" w:csb0="00000001" w:csb1="00000000"/>
    <w:embedRegular r:id="rId1" w:fontKey="{A58F2A77-2760-4E1B-B8F4-BF13D4F288A3}"/>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ACFF" w:usb2="00000009" w:usb3="00000000" w:csb0="000001FF" w:csb1="00000000"/>
    <w:embedRegular r:id="rId2" w:fontKey="{7411125B-194D-40C9-8B90-1D0C04F3E2B5}"/>
    <w:embedItalic r:id="rId3" w:fontKey="{938BEBFE-AB29-465A-97BA-4426897EE8D7}"/>
  </w:font>
  <w:font w:name="Calibri Light">
    <w:panose1 w:val="020F0302020204030204"/>
    <w:charset w:val="00"/>
    <w:family w:val="swiss"/>
    <w:pitch w:val="variable"/>
    <w:sig w:usb0="A00002EF" w:usb1="4000207B" w:usb2="00000000" w:usb3="00000000" w:csb0="0000019F" w:csb1="00000000"/>
    <w:embedRegular r:id="rId4" w:fontKey="{BDE80CB5-734A-43EE-B9E6-6F14B49552D8}"/>
  </w:font>
  <w:font w:name="Inter">
    <w:charset w:val="00"/>
    <w:family w:val="auto"/>
    <w:pitch w:val="variable"/>
    <w:sig w:usb0="E0000AFF" w:usb1="5200A1FF" w:usb2="00000021" w:usb3="00000000" w:csb0="0000019F" w:csb1="00000000"/>
    <w:embedRegular r:id="rId5" w:fontKey="{B5199AA5-8C7B-3A4A-A5ED-2497D9154B41}"/>
    <w:embedBold r:id="rId6" w:fontKey="{A4382458-3AE5-B94F-8BA9-C9C7BD1F9C60}"/>
    <w:embedItalic r:id="rId7" w:fontKey="{4593D32C-7F82-1F4D-8D5B-0ED010B8FD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57718" w14:textId="77777777" w:rsidR="002549F2" w:rsidRDefault="002549F2">
    <w:pPr>
      <w:widowControl w:val="0"/>
      <w:pBdr>
        <w:top w:val="nil"/>
        <w:left w:val="nil"/>
        <w:bottom w:val="nil"/>
        <w:right w:val="nil"/>
        <w:between w:val="nil"/>
      </w:pBdr>
      <w:spacing w:after="0" w:line="276" w:lineRule="auto"/>
      <w:rPr>
        <w:color w:val="000000"/>
      </w:rPr>
    </w:pPr>
  </w:p>
  <w:tbl>
    <w:tblPr>
      <w:tblStyle w:val="af2"/>
      <w:tblW w:w="9015" w:type="dxa"/>
      <w:tblLayout w:type="fixed"/>
      <w:tblLook w:val="0600" w:firstRow="0" w:lastRow="0" w:firstColumn="0" w:lastColumn="0" w:noHBand="1" w:noVBand="1"/>
    </w:tblPr>
    <w:tblGrid>
      <w:gridCol w:w="3005"/>
      <w:gridCol w:w="3005"/>
      <w:gridCol w:w="3005"/>
    </w:tblGrid>
    <w:tr w:rsidR="002549F2" w14:paraId="0171583A" w14:textId="77777777">
      <w:trPr>
        <w:trHeight w:val="300"/>
      </w:trPr>
      <w:tc>
        <w:tcPr>
          <w:tcW w:w="3005" w:type="dxa"/>
        </w:tcPr>
        <w:p w14:paraId="2036B3C7" w14:textId="77777777" w:rsidR="002549F2" w:rsidRDefault="002549F2">
          <w:pPr>
            <w:pBdr>
              <w:top w:val="nil"/>
              <w:left w:val="nil"/>
              <w:bottom w:val="nil"/>
              <w:right w:val="nil"/>
              <w:between w:val="nil"/>
            </w:pBdr>
            <w:tabs>
              <w:tab w:val="center" w:pos="4513"/>
              <w:tab w:val="right" w:pos="9026"/>
            </w:tabs>
            <w:spacing w:after="0" w:line="240" w:lineRule="auto"/>
            <w:ind w:left="-115"/>
            <w:rPr>
              <w:color w:val="000000"/>
            </w:rPr>
          </w:pPr>
        </w:p>
      </w:tc>
      <w:tc>
        <w:tcPr>
          <w:tcW w:w="3005" w:type="dxa"/>
        </w:tcPr>
        <w:p w14:paraId="6D9BADE2" w14:textId="77777777" w:rsidR="002549F2" w:rsidRDefault="002549F2">
          <w:pPr>
            <w:pBdr>
              <w:top w:val="nil"/>
              <w:left w:val="nil"/>
              <w:bottom w:val="nil"/>
              <w:right w:val="nil"/>
              <w:between w:val="nil"/>
            </w:pBdr>
            <w:tabs>
              <w:tab w:val="center" w:pos="4513"/>
              <w:tab w:val="right" w:pos="9026"/>
            </w:tabs>
            <w:spacing w:after="0" w:line="240" w:lineRule="auto"/>
            <w:jc w:val="center"/>
            <w:rPr>
              <w:color w:val="000000"/>
            </w:rPr>
          </w:pPr>
        </w:p>
      </w:tc>
      <w:tc>
        <w:tcPr>
          <w:tcW w:w="3005" w:type="dxa"/>
        </w:tcPr>
        <w:p w14:paraId="086ABA14" w14:textId="77777777" w:rsidR="002549F2" w:rsidRDefault="002549F2">
          <w:pPr>
            <w:pBdr>
              <w:top w:val="nil"/>
              <w:left w:val="nil"/>
              <w:bottom w:val="nil"/>
              <w:right w:val="nil"/>
              <w:between w:val="nil"/>
            </w:pBdr>
            <w:tabs>
              <w:tab w:val="center" w:pos="4513"/>
              <w:tab w:val="right" w:pos="9026"/>
            </w:tabs>
            <w:spacing w:after="0" w:line="240" w:lineRule="auto"/>
            <w:ind w:right="-115"/>
            <w:jc w:val="right"/>
            <w:rPr>
              <w:color w:val="000000"/>
            </w:rPr>
          </w:pPr>
        </w:p>
      </w:tc>
    </w:tr>
  </w:tbl>
  <w:p w14:paraId="74525D11" w14:textId="77777777" w:rsidR="002549F2" w:rsidRDefault="002549F2">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6705E" w14:textId="77777777" w:rsidR="00F239D8" w:rsidRDefault="00F239D8">
      <w:pPr>
        <w:spacing w:after="0" w:line="240" w:lineRule="auto"/>
      </w:pPr>
      <w:r>
        <w:separator/>
      </w:r>
    </w:p>
  </w:footnote>
  <w:footnote w:type="continuationSeparator" w:id="0">
    <w:p w14:paraId="73EB0453" w14:textId="77777777" w:rsidR="00F239D8" w:rsidRDefault="00F239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7D864" w14:textId="77777777" w:rsidR="002549F2" w:rsidRDefault="00620022">
    <w:r>
      <w:rPr>
        <w:noProof/>
      </w:rPr>
      <w:drawing>
        <wp:inline distT="0" distB="0" distL="0" distR="0" wp14:anchorId="644E27B5" wp14:editId="255631A2">
          <wp:extent cx="1280160" cy="246380"/>
          <wp:effectExtent l="0" t="0" r="0" b="0"/>
          <wp:docPr id="195173844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80160" cy="24638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2888"/>
    <w:multiLevelType w:val="multilevel"/>
    <w:tmpl w:val="6AE4392C"/>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E06775"/>
    <w:multiLevelType w:val="multilevel"/>
    <w:tmpl w:val="671052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6FF038D"/>
    <w:multiLevelType w:val="multilevel"/>
    <w:tmpl w:val="B1CA05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A9517F8"/>
    <w:multiLevelType w:val="multilevel"/>
    <w:tmpl w:val="B1CA05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86C1E06"/>
    <w:multiLevelType w:val="hybridMultilevel"/>
    <w:tmpl w:val="1B5638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DAC0583"/>
    <w:multiLevelType w:val="multilevel"/>
    <w:tmpl w:val="447488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20134DD"/>
    <w:multiLevelType w:val="multilevel"/>
    <w:tmpl w:val="25D22FD8"/>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6AB1D6D"/>
    <w:multiLevelType w:val="multilevel"/>
    <w:tmpl w:val="189C9692"/>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24E6E7B"/>
    <w:multiLevelType w:val="multilevel"/>
    <w:tmpl w:val="48344BE0"/>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BF40225"/>
    <w:multiLevelType w:val="hybridMultilevel"/>
    <w:tmpl w:val="E88CD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2D497B"/>
    <w:multiLevelType w:val="multilevel"/>
    <w:tmpl w:val="53460ADC"/>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81731731">
    <w:abstractNumId w:val="6"/>
  </w:num>
  <w:num w:numId="2" w16cid:durableId="1992520746">
    <w:abstractNumId w:val="10"/>
  </w:num>
  <w:num w:numId="3" w16cid:durableId="1385563926">
    <w:abstractNumId w:val="8"/>
  </w:num>
  <w:num w:numId="4" w16cid:durableId="529805195">
    <w:abstractNumId w:val="0"/>
  </w:num>
  <w:num w:numId="5" w16cid:durableId="754395890">
    <w:abstractNumId w:val="7"/>
  </w:num>
  <w:num w:numId="6" w16cid:durableId="18700311">
    <w:abstractNumId w:val="2"/>
  </w:num>
  <w:num w:numId="7" w16cid:durableId="599139387">
    <w:abstractNumId w:val="5"/>
  </w:num>
  <w:num w:numId="8" w16cid:durableId="1241326417">
    <w:abstractNumId w:val="1"/>
  </w:num>
  <w:num w:numId="9" w16cid:durableId="668876005">
    <w:abstractNumId w:val="3"/>
  </w:num>
  <w:num w:numId="10" w16cid:durableId="426118636">
    <w:abstractNumId w:val="4"/>
  </w:num>
  <w:num w:numId="11" w16cid:durableId="5772494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9F2"/>
    <w:rsid w:val="0004589C"/>
    <w:rsid w:val="00116440"/>
    <w:rsid w:val="002549F2"/>
    <w:rsid w:val="002F4BE6"/>
    <w:rsid w:val="0044502E"/>
    <w:rsid w:val="00587226"/>
    <w:rsid w:val="00603E65"/>
    <w:rsid w:val="00620022"/>
    <w:rsid w:val="006B76AF"/>
    <w:rsid w:val="00D216CD"/>
    <w:rsid w:val="00EC64A9"/>
    <w:rsid w:val="00F239D8"/>
    <w:rsid w:val="00F660F4"/>
    <w:rsid w:val="00FC469E"/>
    <w:rsid w:val="00FE1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63DA9"/>
  <w15:docId w15:val="{24C738DB-9668-4111-B9EF-01C23A283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I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i/>
      <w:color w:val="595959"/>
    </w:rPr>
  </w:style>
  <w:style w:type="paragraph" w:styleId="Heading7">
    <w:name w:val="heading 7"/>
    <w:basedOn w:val="Normal"/>
    <w:next w:val="Normal"/>
    <w:link w:val="Heading7Char"/>
    <w:uiPriority w:val="9"/>
    <w:semiHidden/>
    <w:unhideWhenUsed/>
    <w:qFormat/>
    <w:rsid w:val="00D235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35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35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after="80" w:line="240" w:lineRule="auto"/>
    </w:pPr>
    <w:rPr>
      <w:sz w:val="56"/>
      <w:szCs w:val="56"/>
    </w:r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3">
    <w:name w:val="TableNormal"/>
    <w:tblPr>
      <w:tblCellMar>
        <w:top w:w="0" w:type="dxa"/>
        <w:left w:w="0" w:type="dxa"/>
        <w:bottom w:w="0" w:type="dxa"/>
        <w:right w:w="0" w:type="dxa"/>
      </w:tblCellMar>
    </w:tblPr>
  </w:style>
  <w:style w:type="table" w:customStyle="1" w:styleId="TableNormal4">
    <w:name w:val="TableNormal"/>
    <w:tblPr>
      <w:tblCellMar>
        <w:top w:w="0" w:type="dxa"/>
        <w:left w:w="0" w:type="dxa"/>
        <w:bottom w:w="0" w:type="dxa"/>
        <w:right w:w="0" w:type="dxa"/>
      </w:tblCellMar>
    </w:tblPr>
  </w:style>
  <w:style w:type="table" w:customStyle="1" w:styleId="TableNormal5">
    <w:name w:val="TableNormal"/>
    <w:tblPr>
      <w:tblCellMar>
        <w:top w:w="0" w:type="dxa"/>
        <w:left w:w="0" w:type="dxa"/>
        <w:bottom w:w="0" w:type="dxa"/>
        <w:right w:w="0" w:type="dxa"/>
      </w:tblCellMar>
    </w:tblPr>
  </w:style>
  <w:style w:type="table" w:customStyle="1" w:styleId="TableNormal6">
    <w:name w:val="TableNormal"/>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D2353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235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353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353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2353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235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35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35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3538"/>
    <w:rPr>
      <w:rFonts w:eastAsiaTheme="majorEastAsia" w:cstheme="majorBidi"/>
      <w:color w:val="272727" w:themeColor="text1" w:themeTint="D8"/>
    </w:rPr>
  </w:style>
  <w:style w:type="character" w:customStyle="1" w:styleId="TitleChar">
    <w:name w:val="Title Char"/>
    <w:basedOn w:val="DefaultParagraphFont"/>
    <w:link w:val="Title"/>
    <w:uiPriority w:val="10"/>
    <w:rsid w:val="00D23538"/>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D235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3538"/>
    <w:pPr>
      <w:spacing w:before="160"/>
      <w:jc w:val="center"/>
    </w:pPr>
    <w:rPr>
      <w:i/>
      <w:iCs/>
      <w:color w:val="404040" w:themeColor="text1" w:themeTint="BF"/>
    </w:rPr>
  </w:style>
  <w:style w:type="character" w:customStyle="1" w:styleId="QuoteChar">
    <w:name w:val="Quote Char"/>
    <w:basedOn w:val="DefaultParagraphFont"/>
    <w:link w:val="Quote"/>
    <w:uiPriority w:val="29"/>
    <w:rsid w:val="00D23538"/>
    <w:rPr>
      <w:i/>
      <w:iCs/>
      <w:color w:val="404040" w:themeColor="text1" w:themeTint="BF"/>
    </w:rPr>
  </w:style>
  <w:style w:type="paragraph" w:styleId="ListParagraph">
    <w:name w:val="List Paragraph"/>
    <w:basedOn w:val="Normal"/>
    <w:uiPriority w:val="34"/>
    <w:qFormat/>
    <w:rsid w:val="00D23538"/>
    <w:pPr>
      <w:ind w:left="720"/>
      <w:contextualSpacing/>
    </w:pPr>
  </w:style>
  <w:style w:type="character" w:styleId="IntenseEmphasis">
    <w:name w:val="Intense Emphasis"/>
    <w:basedOn w:val="DefaultParagraphFont"/>
    <w:uiPriority w:val="21"/>
    <w:qFormat/>
    <w:rsid w:val="00D23538"/>
    <w:rPr>
      <w:i/>
      <w:iCs/>
      <w:color w:val="2F5496" w:themeColor="accent1" w:themeShade="BF"/>
    </w:rPr>
  </w:style>
  <w:style w:type="paragraph" w:styleId="IntenseQuote">
    <w:name w:val="Intense Quote"/>
    <w:basedOn w:val="Normal"/>
    <w:next w:val="Normal"/>
    <w:link w:val="IntenseQuoteChar"/>
    <w:uiPriority w:val="30"/>
    <w:qFormat/>
    <w:rsid w:val="00D235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3538"/>
    <w:rPr>
      <w:i/>
      <w:iCs/>
      <w:color w:val="2F5496" w:themeColor="accent1" w:themeShade="BF"/>
    </w:rPr>
  </w:style>
  <w:style w:type="character" w:styleId="IntenseReference">
    <w:name w:val="Intense Reference"/>
    <w:basedOn w:val="DefaultParagraphFont"/>
    <w:uiPriority w:val="32"/>
    <w:qFormat/>
    <w:rsid w:val="00D23538"/>
    <w:rPr>
      <w:b/>
      <w:bCs/>
      <w:smallCaps/>
      <w:color w:val="2F5496" w:themeColor="accent1" w:themeShade="BF"/>
      <w:spacing w:val="5"/>
    </w:rPr>
  </w:style>
  <w:style w:type="character" w:styleId="PlaceholderText">
    <w:name w:val="Placeholder Text"/>
    <w:basedOn w:val="DefaultParagraphFont"/>
    <w:uiPriority w:val="99"/>
    <w:semiHidden/>
    <w:rsid w:val="00D23538"/>
    <w:rPr>
      <w:color w:val="666666"/>
    </w:rPr>
  </w:style>
  <w:style w:type="table" w:styleId="TableGrid">
    <w:name w:val="Table Grid"/>
    <w:basedOn w:val="TableNormal"/>
    <w:uiPriority w:val="39"/>
    <w:rsid w:val="00F328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ode">
    <w:name w:val="HTML Code"/>
    <w:basedOn w:val="DefaultParagraphFont"/>
    <w:uiPriority w:val="99"/>
    <w:semiHidden/>
    <w:unhideWhenUsed/>
    <w:rsid w:val="00281C0A"/>
    <w:rPr>
      <w:rFonts w:ascii="Courier New" w:eastAsia="Times New Roman" w:hAnsi="Courier New" w:cs="Courier New"/>
      <w:sz w:val="20"/>
      <w:szCs w:val="20"/>
    </w:rPr>
  </w:style>
  <w:style w:type="paragraph" w:styleId="Header">
    <w:name w:val="header"/>
    <w:basedOn w:val="Normal"/>
    <w:link w:val="HeaderChar"/>
    <w:uiPriority w:val="99"/>
    <w:unhideWhenUsed/>
    <w:rsid w:val="00E27C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7C8E"/>
  </w:style>
  <w:style w:type="paragraph" w:styleId="Footer">
    <w:name w:val="footer"/>
    <w:basedOn w:val="Normal"/>
    <w:link w:val="FooterChar"/>
    <w:uiPriority w:val="99"/>
    <w:unhideWhenUsed/>
    <w:rsid w:val="00E27C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7C8E"/>
  </w:style>
  <w:style w:type="paragraph" w:styleId="NoSpacing">
    <w:name w:val="No Spacing"/>
    <w:link w:val="NoSpacingChar"/>
    <w:uiPriority w:val="1"/>
    <w:qFormat/>
    <w:rsid w:val="002452DC"/>
    <w:pPr>
      <w:spacing w:after="0" w:line="240" w:lineRule="auto"/>
    </w:pPr>
    <w:rPr>
      <w:rFonts w:eastAsiaTheme="minorEastAsia"/>
      <w:sz w:val="22"/>
      <w:szCs w:val="22"/>
      <w:lang w:val="en-US"/>
    </w:rPr>
  </w:style>
  <w:style w:type="character" w:customStyle="1" w:styleId="NoSpacingChar">
    <w:name w:val="No Spacing Char"/>
    <w:basedOn w:val="DefaultParagraphFont"/>
    <w:link w:val="NoSpacing"/>
    <w:uiPriority w:val="1"/>
    <w:rsid w:val="002452DC"/>
    <w:rPr>
      <w:rFonts w:eastAsiaTheme="minorEastAsia"/>
      <w:kern w:val="0"/>
      <w:sz w:val="22"/>
      <w:szCs w:val="22"/>
      <w:lang w:val="en-US"/>
    </w:rPr>
  </w:style>
  <w:style w:type="character" w:styleId="Hyperlink">
    <w:name w:val="Hyperlink"/>
    <w:basedOn w:val="DefaultParagraphFont"/>
    <w:uiPriority w:val="99"/>
    <w:unhideWhenUsed/>
    <w:rsid w:val="00794AEE"/>
    <w:rPr>
      <w:color w:val="0563C1" w:themeColor="hyperlink"/>
      <w:u w:val="single"/>
    </w:rPr>
  </w:style>
  <w:style w:type="character" w:styleId="UnresolvedMention">
    <w:name w:val="Unresolved Mention"/>
    <w:basedOn w:val="DefaultParagraphFont"/>
    <w:uiPriority w:val="99"/>
    <w:semiHidden/>
    <w:unhideWhenUsed/>
    <w:rsid w:val="00794AEE"/>
    <w:rPr>
      <w:color w:val="605E5C"/>
      <w:shd w:val="clear" w:color="auto" w:fill="E1DFDD"/>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pPr>
      <w:spacing w:after="0" w:line="240" w:lineRule="auto"/>
    </w:pPr>
    <w:tblPr>
      <w:tblStyleRowBandSize w:val="1"/>
      <w:tblStyleColBandSize w:val="1"/>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pPr>
      <w:spacing w:after="0" w:line="240" w:lineRule="auto"/>
    </w:pPr>
    <w:tblPr>
      <w:tblStyleRowBandSize w:val="1"/>
      <w:tblStyleColBandSize w:val="1"/>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pPr>
      <w:spacing w:after="0" w:line="240" w:lineRule="auto"/>
    </w:pPr>
    <w:tblPr>
      <w:tblStyleRowBandSize w:val="1"/>
      <w:tblStyleColBandSize w:val="1"/>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pPr>
      <w:spacing w:after="0" w:line="240" w:lineRule="auto"/>
    </w:pPr>
    <w:tblPr>
      <w:tblStyleRowBandSize w:val="1"/>
      <w:tblStyleColBandSize w:val="1"/>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paragraph" w:styleId="Subtitle">
    <w:name w:val="Subtitle"/>
    <w:basedOn w:val="Normal"/>
    <w:next w:val="Normal"/>
    <w:link w:val="SubtitleChar"/>
    <w:uiPriority w:val="11"/>
    <w:qFormat/>
    <w:rPr>
      <w:color w:val="595959"/>
      <w:sz w:val="28"/>
      <w:szCs w:val="28"/>
    </w:rPr>
  </w:style>
  <w:style w:type="table" w:customStyle="1" w:styleId="af1">
    <w:basedOn w:val="TableNormal"/>
    <w:pPr>
      <w:spacing w:after="0" w:line="240" w:lineRule="auto"/>
    </w:pPr>
    <w:tblPr>
      <w:tblStyleRowBandSize w:val="1"/>
      <w:tblStyleColBandSize w:val="1"/>
    </w:tblPr>
  </w:style>
  <w:style w:type="table" w:customStyle="1" w:styleId="af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1.xml" /></Relationships>
</file>

<file path=word/_rels/fontTable.xml.rels><?xml version="1.0" encoding="UTF-8" standalone="yes"?>
<Relationships xmlns="http://schemas.openxmlformats.org/package/2006/relationships"><Relationship Id="rId3" Type="http://schemas.openxmlformats.org/officeDocument/2006/relationships/font" Target="fonts/font3.odttf" /><Relationship Id="rId7" Type="http://schemas.openxmlformats.org/officeDocument/2006/relationships/font" Target="fonts/font7.odttf" /><Relationship Id="rId2" Type="http://schemas.openxmlformats.org/officeDocument/2006/relationships/font" Target="fonts/font2.odttf" /><Relationship Id="rId1" Type="http://schemas.openxmlformats.org/officeDocument/2006/relationships/font" Target="fonts/font1.odttf" /><Relationship Id="rId6" Type="http://schemas.openxmlformats.org/officeDocument/2006/relationships/font" Target="fonts/font6.odttf" /><Relationship Id="rId5" Type="http://schemas.openxmlformats.org/officeDocument/2006/relationships/font" Target="fonts/font5.odttf" /><Relationship Id="rId4" Type="http://schemas.openxmlformats.org/officeDocument/2006/relationships/font" Target="fonts/font4.odttf" /></Relationships>
</file>

<file path=word/_rels/header1.xml.rels><?xml version="1.0" encoding="UTF-8" standalone="yes"?>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yk+mAW8VySbmCP4IBPQV0ZZYNA==">CgMxLjA4AHIhMVBTUExHNzdJLWtrdXhVa05sTzZwNldmZU1jRlFHVWhi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6384</Words>
  <Characters>36392</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Sajid</dc:creator>
  <dc:description/>
  <cp:lastModifiedBy>caashishjain0603@gmail.com</cp:lastModifiedBy>
  <cp:revision>2</cp:revision>
  <dcterms:created xsi:type="dcterms:W3CDTF">2026-04-30T06:57:00Z</dcterms:created>
  <dcterms:modified xsi:type="dcterms:W3CDTF">2026-04-30T06:57:00Z</dcterms:modified>
  <dc:identifier/>
  <dc:language/>
</cp:coreProperties>
</file>